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28" w:rsidRDefault="00E04728">
      <w:pPr>
        <w:pStyle w:val="Heading3"/>
        <w:rPr>
          <w:rFonts w:ascii="Arial" w:hAnsi="Arial" w:cs="Arial"/>
          <w:szCs w:val="24"/>
        </w:rPr>
      </w:pPr>
      <w:bookmarkStart w:id="0" w:name="_GoBack"/>
      <w:bookmarkEnd w:id="0"/>
      <w:r w:rsidRPr="00161CAE">
        <w:rPr>
          <w:rFonts w:ascii="Arial" w:hAnsi="Arial" w:cs="Arial"/>
          <w:b/>
          <w:szCs w:val="24"/>
        </w:rPr>
        <w:t xml:space="preserve">SCOPE: </w:t>
      </w:r>
      <w:r w:rsidR="0018015F" w:rsidRPr="00161CAE">
        <w:rPr>
          <w:rFonts w:ascii="Arial" w:hAnsi="Arial" w:cs="Arial"/>
          <w:szCs w:val="24"/>
        </w:rPr>
        <w:t xml:space="preserve"> </w:t>
      </w:r>
    </w:p>
    <w:p w:rsidR="0010744A" w:rsidRDefault="0010744A" w:rsidP="0010744A">
      <w:pPr>
        <w:rPr>
          <w:color w:val="000000"/>
          <w:sz w:val="27"/>
          <w:szCs w:val="27"/>
        </w:rPr>
      </w:pPr>
      <w:r w:rsidRPr="00B96568">
        <w:rPr>
          <w:color w:val="000000"/>
          <w:sz w:val="27"/>
          <w:szCs w:val="27"/>
        </w:rPr>
        <w:t xml:space="preserve">Unless specifically stated, this policy applies to all </w:t>
      </w:r>
      <w:r w:rsidR="00184FC5">
        <w:rPr>
          <w:color w:val="000000"/>
          <w:sz w:val="27"/>
          <w:szCs w:val="27"/>
        </w:rPr>
        <w:t xml:space="preserve">contracted Sales Entities and </w:t>
      </w:r>
      <w:r w:rsidRPr="00B96568">
        <w:rPr>
          <w:color w:val="000000"/>
          <w:sz w:val="27"/>
          <w:szCs w:val="27"/>
        </w:rPr>
        <w:t xml:space="preserve">Agents/Brokers </w:t>
      </w:r>
      <w:r w:rsidR="0088679E">
        <w:rPr>
          <w:sz w:val="27"/>
          <w:szCs w:val="27"/>
        </w:rPr>
        <w:t xml:space="preserve">who are </w:t>
      </w:r>
      <w:r w:rsidR="0088679E" w:rsidRPr="00ED6601">
        <w:rPr>
          <w:sz w:val="27"/>
          <w:szCs w:val="27"/>
        </w:rPr>
        <w:t>authorized to sell Centene Medicare products</w:t>
      </w:r>
      <w:r w:rsidR="0088679E">
        <w:rPr>
          <w:color w:val="000000"/>
          <w:sz w:val="27"/>
          <w:szCs w:val="27"/>
        </w:rPr>
        <w:t xml:space="preserve">, </w:t>
      </w:r>
      <w:r w:rsidRPr="00B96568">
        <w:rPr>
          <w:color w:val="000000"/>
          <w:sz w:val="27"/>
          <w:szCs w:val="27"/>
        </w:rPr>
        <w:t xml:space="preserve">whether employed or contracted (directly or via an affiliated Sales Entity). Hereafter, in this document, all selling individuals will be referred to as “Agents.” The term “Sales Entity” refers to any </w:t>
      </w:r>
      <w:r>
        <w:rPr>
          <w:color w:val="000000"/>
          <w:sz w:val="27"/>
          <w:szCs w:val="27"/>
        </w:rPr>
        <w:t>Centene</w:t>
      </w:r>
      <w:r w:rsidRPr="00B96568">
        <w:rPr>
          <w:color w:val="000000"/>
          <w:sz w:val="27"/>
          <w:szCs w:val="27"/>
        </w:rPr>
        <w:t xml:space="preserve"> contracted sales organization, including Agencies.</w:t>
      </w:r>
    </w:p>
    <w:p w:rsidR="000C0618" w:rsidRPr="00161CAE" w:rsidRDefault="000C0618" w:rsidP="000C0618">
      <w:pPr>
        <w:rPr>
          <w:rFonts w:ascii="Arial" w:hAnsi="Arial" w:cs="Arial"/>
        </w:rPr>
      </w:pPr>
    </w:p>
    <w:p w:rsidR="00AD2A15" w:rsidRPr="00161CAE" w:rsidRDefault="00AD2A15">
      <w:pPr>
        <w:rPr>
          <w:rFonts w:ascii="Arial" w:hAnsi="Arial" w:cs="Arial"/>
          <w:b/>
        </w:rPr>
      </w:pPr>
      <w:r w:rsidRPr="00161CAE">
        <w:rPr>
          <w:rFonts w:ascii="Arial" w:hAnsi="Arial" w:cs="Arial"/>
          <w:b/>
        </w:rPr>
        <w:t>POLICY:</w:t>
      </w:r>
    </w:p>
    <w:p w:rsidR="0010744A" w:rsidRDefault="0010744A" w:rsidP="0010744A">
      <w:pPr>
        <w:rPr>
          <w:color w:val="000000"/>
          <w:sz w:val="27"/>
          <w:szCs w:val="27"/>
        </w:rPr>
      </w:pPr>
      <w:r>
        <w:rPr>
          <w:color w:val="000000"/>
          <w:sz w:val="27"/>
          <w:szCs w:val="27"/>
        </w:rPr>
        <w:t>Centene</w:t>
      </w:r>
      <w:r w:rsidRPr="00B96568">
        <w:rPr>
          <w:color w:val="000000"/>
          <w:sz w:val="27"/>
          <w:szCs w:val="27"/>
        </w:rPr>
        <w:t xml:space="preserve"> requires all </w:t>
      </w:r>
      <w:r w:rsidR="0088679E">
        <w:rPr>
          <w:color w:val="000000"/>
          <w:sz w:val="27"/>
          <w:szCs w:val="27"/>
        </w:rPr>
        <w:t>Agents and</w:t>
      </w:r>
      <w:r w:rsidRPr="00B96568">
        <w:rPr>
          <w:color w:val="000000"/>
          <w:sz w:val="27"/>
          <w:szCs w:val="27"/>
        </w:rPr>
        <w:t xml:space="preserve"> Sales Entities</w:t>
      </w:r>
      <w:r w:rsidR="0088679E">
        <w:rPr>
          <w:color w:val="000000"/>
          <w:sz w:val="27"/>
          <w:szCs w:val="27"/>
        </w:rPr>
        <w:t xml:space="preserve"> </w:t>
      </w:r>
      <w:r w:rsidRPr="00B96568">
        <w:rPr>
          <w:color w:val="000000"/>
          <w:sz w:val="27"/>
          <w:szCs w:val="27"/>
        </w:rPr>
        <w:t xml:space="preserve">to comply with </w:t>
      </w:r>
      <w:r>
        <w:rPr>
          <w:color w:val="000000"/>
          <w:sz w:val="27"/>
          <w:szCs w:val="27"/>
        </w:rPr>
        <w:t>Centene’s Business Ethics and Conduct policy</w:t>
      </w:r>
      <w:r w:rsidRPr="00B96568">
        <w:rPr>
          <w:color w:val="000000"/>
          <w:sz w:val="27"/>
          <w:szCs w:val="27"/>
        </w:rPr>
        <w:t xml:space="preserve">, federal and state laws, CMS regulations and guidance, and all other regulatory requirements related to sales activities. </w:t>
      </w:r>
      <w:r>
        <w:rPr>
          <w:color w:val="000000"/>
          <w:sz w:val="27"/>
          <w:szCs w:val="27"/>
        </w:rPr>
        <w:t>Centene</w:t>
      </w:r>
      <w:r w:rsidRPr="00B96568">
        <w:rPr>
          <w:color w:val="000000"/>
          <w:sz w:val="27"/>
          <w:szCs w:val="27"/>
        </w:rPr>
        <w:t xml:space="preserve"> expects that Agents will assist each Medicare beneficiary to obtain Medicare coverage that best meets the beneficiary’s specific needs.</w:t>
      </w:r>
      <w:r w:rsidRPr="00B96568">
        <w:rPr>
          <w:color w:val="000000"/>
          <w:sz w:val="27"/>
          <w:szCs w:val="27"/>
        </w:rPr>
        <w:br/>
      </w:r>
    </w:p>
    <w:p w:rsidR="0018015F" w:rsidRPr="00EE5E5C" w:rsidRDefault="0010744A" w:rsidP="00EE5E5C">
      <w:pPr>
        <w:rPr>
          <w:rFonts w:ascii="Arial" w:hAnsi="Arial" w:cs="Arial"/>
        </w:rPr>
      </w:pPr>
      <w:r w:rsidRPr="00EE5E5C">
        <w:rPr>
          <w:color w:val="000000"/>
          <w:sz w:val="27"/>
          <w:szCs w:val="27"/>
        </w:rPr>
        <w:t xml:space="preserve">Centene performs regular oversight and monitoring of Agent activities to prevent, detect, and correct compliance deficiencies with Centene policies, federal and state laws, CMS regulations, and other regulatory requirements. When potential non-compliance is detected or reported, Centene will investigate, correct, and monitor to ensure that appropriate corrective actions are </w:t>
      </w:r>
      <w:proofErr w:type="gramStart"/>
      <w:r w:rsidRPr="00EE5E5C">
        <w:rPr>
          <w:color w:val="000000"/>
          <w:sz w:val="27"/>
          <w:szCs w:val="27"/>
        </w:rPr>
        <w:t>undertaken</w:t>
      </w:r>
      <w:proofErr w:type="gramEnd"/>
      <w:r w:rsidRPr="00EE5E5C">
        <w:rPr>
          <w:color w:val="000000"/>
          <w:sz w:val="27"/>
          <w:szCs w:val="27"/>
        </w:rPr>
        <w:t xml:space="preserve"> and effective</w:t>
      </w:r>
      <w:r w:rsidR="0088552E" w:rsidRPr="00EE5E5C">
        <w:rPr>
          <w:color w:val="000000"/>
          <w:sz w:val="27"/>
          <w:szCs w:val="27"/>
        </w:rPr>
        <w:t>.</w:t>
      </w:r>
    </w:p>
    <w:p w:rsidR="0088552E" w:rsidRDefault="0088552E" w:rsidP="00181F4F">
      <w:pPr>
        <w:spacing w:before="100" w:beforeAutospacing="1" w:after="100" w:afterAutospacing="1"/>
        <w:rPr>
          <w:color w:val="000000"/>
          <w:sz w:val="27"/>
          <w:szCs w:val="27"/>
        </w:rPr>
        <w:sectPr w:rsidR="0088552E" w:rsidSect="0010744A">
          <w:headerReference w:type="even" r:id="rId9"/>
          <w:headerReference w:type="default" r:id="rId10"/>
          <w:footerReference w:type="even" r:id="rId11"/>
          <w:footerReference w:type="default" r:id="rId12"/>
          <w:headerReference w:type="first" r:id="rId13"/>
          <w:footerReference w:type="first" r:id="rId14"/>
          <w:pgSz w:w="12240" w:h="15840"/>
          <w:pgMar w:top="1008" w:right="864" w:bottom="1008" w:left="864" w:header="720" w:footer="720" w:gutter="0"/>
          <w:cols w:space="720"/>
          <w:docGrid w:linePitch="360"/>
        </w:sectPr>
      </w:pPr>
    </w:p>
    <w:tbl>
      <w:tblPr>
        <w:tblW w:w="5000" w:type="pct"/>
        <w:tblCellSpacing w:w="0" w:type="dxa"/>
        <w:tblCellMar>
          <w:left w:w="0" w:type="dxa"/>
          <w:right w:w="0" w:type="dxa"/>
        </w:tblCellMar>
        <w:tblLook w:val="04A0" w:firstRow="1" w:lastRow="0" w:firstColumn="1" w:lastColumn="0" w:noHBand="0" w:noVBand="1"/>
      </w:tblPr>
      <w:tblGrid>
        <w:gridCol w:w="10512"/>
      </w:tblGrid>
      <w:tr w:rsidR="0010744A" w:rsidRPr="00B96568" w:rsidTr="00EE5E5C">
        <w:trPr>
          <w:tblCellSpacing w:w="0" w:type="dxa"/>
        </w:trPr>
        <w:tc>
          <w:tcPr>
            <w:tcW w:w="10512" w:type="dxa"/>
            <w:hideMark/>
          </w:tcPr>
          <w:p w:rsidR="00EE5E5C" w:rsidRDefault="00EE5E5C" w:rsidP="00DF4B94">
            <w:pPr>
              <w:spacing w:before="100" w:beforeAutospacing="1" w:after="240"/>
              <w:rPr>
                <w:color w:val="000000"/>
                <w:sz w:val="27"/>
                <w:szCs w:val="27"/>
              </w:rPr>
            </w:pPr>
          </w:p>
          <w:p w:rsidR="0010744A" w:rsidRDefault="0010744A" w:rsidP="00181F4F">
            <w:pPr>
              <w:spacing w:before="100" w:beforeAutospacing="1" w:after="100" w:afterAutospacing="1"/>
              <w:rPr>
                <w:color w:val="000000"/>
                <w:sz w:val="27"/>
                <w:szCs w:val="27"/>
              </w:rPr>
            </w:pPr>
            <w:r w:rsidRPr="00B96568">
              <w:rPr>
                <w:color w:val="000000"/>
                <w:sz w:val="27"/>
                <w:szCs w:val="27"/>
              </w:rPr>
              <w:t xml:space="preserve">Agents and Sales Entities are responsible for cooperating with </w:t>
            </w:r>
            <w:r>
              <w:rPr>
                <w:color w:val="000000"/>
                <w:sz w:val="27"/>
                <w:szCs w:val="27"/>
              </w:rPr>
              <w:t>Centene’s</w:t>
            </w:r>
            <w:r w:rsidRPr="00B96568">
              <w:rPr>
                <w:color w:val="000000"/>
                <w:sz w:val="27"/>
                <w:szCs w:val="27"/>
              </w:rPr>
              <w:t xml:space="preserve"> oversight and monitoring activities, including compliance with all corrective or disciplinary actions that are deemed appropriate by </w:t>
            </w:r>
            <w:r>
              <w:rPr>
                <w:color w:val="000000"/>
                <w:sz w:val="27"/>
                <w:szCs w:val="27"/>
              </w:rPr>
              <w:t>Centene’s</w:t>
            </w:r>
            <w:r w:rsidRPr="00B96568">
              <w:rPr>
                <w:color w:val="000000"/>
                <w:sz w:val="27"/>
                <w:szCs w:val="27"/>
              </w:rPr>
              <w:t xml:space="preserve"> Agent </w:t>
            </w:r>
            <w:r w:rsidR="00DF4B94">
              <w:rPr>
                <w:color w:val="000000"/>
                <w:sz w:val="27"/>
                <w:szCs w:val="27"/>
              </w:rPr>
              <w:t xml:space="preserve">Broker </w:t>
            </w:r>
            <w:r w:rsidRPr="00B96568">
              <w:rPr>
                <w:color w:val="000000"/>
                <w:sz w:val="27"/>
                <w:szCs w:val="27"/>
              </w:rPr>
              <w:t xml:space="preserve">Oversight Committee. </w:t>
            </w:r>
          </w:p>
          <w:p w:rsidR="00510E9D" w:rsidRPr="00510E9D" w:rsidRDefault="00510E9D" w:rsidP="00510E9D">
            <w:pPr>
              <w:spacing w:before="100" w:beforeAutospacing="1" w:after="100" w:afterAutospacing="1"/>
              <w:rPr>
                <w:color w:val="000000"/>
                <w:sz w:val="27"/>
                <w:szCs w:val="27"/>
              </w:rPr>
            </w:pPr>
            <w:r w:rsidRPr="00510E9D">
              <w:rPr>
                <w:color w:val="000000"/>
                <w:sz w:val="27"/>
                <w:szCs w:val="27"/>
              </w:rPr>
              <w:t>Corrective Action Plans (CAPs) are developed and documented by Sales leadership and Sales Compliance to address specific sales agent performance issues, misconduct or other areas of non-compliance.  CAPs must contain a detailed explanation of the issue, root cause and specific actions/timeframes necessary to correct the deficiency.  Corrective actions may include, but are not limited to:</w:t>
            </w:r>
          </w:p>
          <w:p w:rsidR="00510E9D" w:rsidRPr="00510E9D" w:rsidRDefault="00510E9D" w:rsidP="00700595">
            <w:pPr>
              <w:numPr>
                <w:ilvl w:val="0"/>
                <w:numId w:val="39"/>
              </w:numPr>
              <w:spacing w:before="100" w:beforeAutospacing="1" w:after="100" w:afterAutospacing="1"/>
              <w:rPr>
                <w:color w:val="000000"/>
                <w:sz w:val="27"/>
                <w:szCs w:val="27"/>
              </w:rPr>
            </w:pPr>
            <w:r w:rsidRPr="00510E9D">
              <w:rPr>
                <w:color w:val="000000"/>
                <w:sz w:val="27"/>
                <w:szCs w:val="27"/>
              </w:rPr>
              <w:t xml:space="preserve">Counseling </w:t>
            </w:r>
          </w:p>
          <w:p w:rsidR="00510E9D" w:rsidRPr="00510E9D" w:rsidRDefault="00510E9D" w:rsidP="00700595">
            <w:pPr>
              <w:numPr>
                <w:ilvl w:val="0"/>
                <w:numId w:val="39"/>
              </w:numPr>
              <w:spacing w:before="100" w:beforeAutospacing="1" w:after="100" w:afterAutospacing="1"/>
              <w:rPr>
                <w:color w:val="000000"/>
                <w:sz w:val="27"/>
                <w:szCs w:val="27"/>
              </w:rPr>
            </w:pPr>
            <w:r w:rsidRPr="00510E9D">
              <w:rPr>
                <w:color w:val="000000"/>
                <w:sz w:val="27"/>
                <w:szCs w:val="27"/>
              </w:rPr>
              <w:t xml:space="preserve">Retraining </w:t>
            </w:r>
          </w:p>
          <w:p w:rsidR="00510E9D" w:rsidRPr="00510E9D" w:rsidRDefault="00510E9D" w:rsidP="00700595">
            <w:pPr>
              <w:numPr>
                <w:ilvl w:val="0"/>
                <w:numId w:val="39"/>
              </w:numPr>
              <w:spacing w:before="100" w:beforeAutospacing="1" w:after="100" w:afterAutospacing="1"/>
              <w:rPr>
                <w:color w:val="000000"/>
                <w:sz w:val="27"/>
                <w:szCs w:val="27"/>
              </w:rPr>
            </w:pPr>
            <w:r w:rsidRPr="00510E9D">
              <w:rPr>
                <w:color w:val="000000"/>
                <w:sz w:val="27"/>
                <w:szCs w:val="27"/>
              </w:rPr>
              <w:t xml:space="preserve">Warnings </w:t>
            </w:r>
          </w:p>
          <w:p w:rsidR="00510E9D" w:rsidRPr="00510E9D" w:rsidRDefault="00510E9D" w:rsidP="00700595">
            <w:pPr>
              <w:numPr>
                <w:ilvl w:val="0"/>
                <w:numId w:val="39"/>
              </w:numPr>
              <w:spacing w:before="100" w:beforeAutospacing="1" w:after="100" w:afterAutospacing="1"/>
              <w:rPr>
                <w:color w:val="000000"/>
                <w:sz w:val="27"/>
                <w:szCs w:val="27"/>
              </w:rPr>
            </w:pPr>
            <w:r w:rsidRPr="00510E9D">
              <w:rPr>
                <w:color w:val="000000"/>
                <w:sz w:val="27"/>
                <w:szCs w:val="27"/>
              </w:rPr>
              <w:t xml:space="preserve">Suspension </w:t>
            </w:r>
          </w:p>
          <w:p w:rsidR="00510E9D" w:rsidRPr="00510E9D" w:rsidRDefault="00765F2E" w:rsidP="00700595">
            <w:pPr>
              <w:numPr>
                <w:ilvl w:val="0"/>
                <w:numId w:val="39"/>
              </w:numPr>
              <w:spacing w:before="100" w:beforeAutospacing="1" w:after="100" w:afterAutospacing="1"/>
              <w:rPr>
                <w:color w:val="000000"/>
                <w:sz w:val="27"/>
                <w:szCs w:val="27"/>
              </w:rPr>
            </w:pPr>
            <w:r>
              <w:rPr>
                <w:color w:val="000000"/>
                <w:sz w:val="27"/>
                <w:szCs w:val="27"/>
              </w:rPr>
              <w:t xml:space="preserve">Agent/Sales Entity </w:t>
            </w:r>
            <w:r w:rsidR="00510E9D" w:rsidRPr="00510E9D">
              <w:rPr>
                <w:color w:val="000000"/>
                <w:sz w:val="27"/>
                <w:szCs w:val="27"/>
              </w:rPr>
              <w:t xml:space="preserve">termination that may including reporting to CMS or other state and </w:t>
            </w:r>
            <w:r w:rsidR="00510E9D" w:rsidRPr="00510E9D">
              <w:rPr>
                <w:color w:val="000000"/>
                <w:sz w:val="27"/>
                <w:szCs w:val="27"/>
              </w:rPr>
              <w:lastRenderedPageBreak/>
              <w:t xml:space="preserve">federal regulatory agencies </w:t>
            </w:r>
          </w:p>
          <w:p w:rsidR="00510E9D" w:rsidRPr="00510E9D" w:rsidRDefault="00510E9D" w:rsidP="00510E9D">
            <w:pPr>
              <w:spacing w:before="100" w:beforeAutospacing="1" w:after="100" w:afterAutospacing="1"/>
              <w:rPr>
                <w:color w:val="000000"/>
                <w:sz w:val="27"/>
                <w:szCs w:val="27"/>
              </w:rPr>
            </w:pPr>
            <w:r w:rsidRPr="00510E9D">
              <w:rPr>
                <w:color w:val="000000"/>
                <w:sz w:val="27"/>
                <w:szCs w:val="27"/>
              </w:rPr>
              <w:t xml:space="preserve">CAPs are tracked to completion by Sales Compliance.  Failure to complete the required corrective actions may result in further disciplinary action, up to and including termination. </w:t>
            </w:r>
          </w:p>
          <w:p w:rsidR="00462DA0" w:rsidRPr="00B96568" w:rsidRDefault="00462DA0" w:rsidP="00181F4F">
            <w:pPr>
              <w:spacing w:before="100" w:beforeAutospacing="1" w:after="100" w:afterAutospacing="1"/>
              <w:rPr>
                <w:color w:val="000000"/>
              </w:rPr>
            </w:pPr>
          </w:p>
          <w:p w:rsidR="0010744A" w:rsidRPr="00B96568" w:rsidRDefault="0010744A" w:rsidP="00181F4F">
            <w:pPr>
              <w:spacing w:before="100" w:beforeAutospacing="1" w:after="100" w:afterAutospacing="1"/>
              <w:rPr>
                <w:color w:val="000000"/>
              </w:rPr>
            </w:pPr>
            <w:r w:rsidRPr="00B96568">
              <w:rPr>
                <w:b/>
                <w:bCs/>
                <w:color w:val="4181C0"/>
                <w:sz w:val="36"/>
                <w:szCs w:val="36"/>
              </w:rPr>
              <w:t>Broker Contracting</w:t>
            </w:r>
            <w:r w:rsidRPr="00B96568">
              <w:rPr>
                <w:color w:val="000000"/>
                <w:sz w:val="27"/>
                <w:szCs w:val="27"/>
              </w:rPr>
              <w:br/>
              <w:t xml:space="preserve">Before an agent may market or sell any of </w:t>
            </w:r>
            <w:r>
              <w:rPr>
                <w:color w:val="000000"/>
                <w:sz w:val="27"/>
                <w:szCs w:val="27"/>
              </w:rPr>
              <w:t>Centene’s</w:t>
            </w:r>
            <w:r w:rsidRPr="00B96568">
              <w:rPr>
                <w:color w:val="000000"/>
                <w:sz w:val="27"/>
                <w:szCs w:val="27"/>
              </w:rPr>
              <w:t xml:space="preserve"> Medicare products, all </w:t>
            </w:r>
            <w:r>
              <w:rPr>
                <w:color w:val="000000"/>
                <w:sz w:val="27"/>
                <w:szCs w:val="27"/>
              </w:rPr>
              <w:t>Centene</w:t>
            </w:r>
            <w:r w:rsidR="004C4A1F">
              <w:rPr>
                <w:color w:val="000000"/>
                <w:sz w:val="27"/>
                <w:szCs w:val="27"/>
              </w:rPr>
              <w:t>’s</w:t>
            </w:r>
            <w:r w:rsidRPr="00B96568">
              <w:rPr>
                <w:color w:val="000000"/>
                <w:sz w:val="27"/>
                <w:szCs w:val="27"/>
              </w:rPr>
              <w:t xml:space="preserve"> Medicare contracting requirements must be completed, including: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 xml:space="preserve">Maintain an </w:t>
            </w:r>
            <w:r>
              <w:rPr>
                <w:color w:val="000000"/>
                <w:sz w:val="27"/>
                <w:szCs w:val="27"/>
              </w:rPr>
              <w:t>active health insurance agent</w:t>
            </w:r>
            <w:r w:rsidRPr="00B96568">
              <w:rPr>
                <w:color w:val="000000"/>
                <w:sz w:val="27"/>
                <w:szCs w:val="27"/>
              </w:rPr>
              <w:t xml:space="preserve"> license (for each state in which </w:t>
            </w:r>
            <w:r>
              <w:rPr>
                <w:color w:val="000000"/>
                <w:sz w:val="27"/>
                <w:szCs w:val="27"/>
              </w:rPr>
              <w:t>Centene</w:t>
            </w:r>
            <w:r w:rsidRPr="00B96568">
              <w:rPr>
                <w:color w:val="000000"/>
                <w:sz w:val="27"/>
                <w:szCs w:val="27"/>
              </w:rPr>
              <w:t xml:space="preserve"> products will be sold)</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Complete annual AHIP National Medicare Certification with Fraud, Waste and Abuse training and successfully pass the exam</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 xml:space="preserve">Complete annual </w:t>
            </w:r>
            <w:r>
              <w:rPr>
                <w:color w:val="000000"/>
                <w:sz w:val="27"/>
                <w:szCs w:val="27"/>
              </w:rPr>
              <w:t>Centene</w:t>
            </w:r>
            <w:r w:rsidRPr="00B96568">
              <w:rPr>
                <w:color w:val="000000"/>
                <w:sz w:val="27"/>
                <w:szCs w:val="27"/>
              </w:rPr>
              <w:t xml:space="preserve"> Medicare Product and C</w:t>
            </w:r>
            <w:r w:rsidR="004C4A1F">
              <w:rPr>
                <w:color w:val="000000"/>
                <w:sz w:val="27"/>
                <w:szCs w:val="27"/>
              </w:rPr>
              <w:t>ertification</w:t>
            </w:r>
            <w:r w:rsidRPr="00B96568">
              <w:rPr>
                <w:color w:val="000000"/>
                <w:sz w:val="27"/>
                <w:szCs w:val="27"/>
              </w:rPr>
              <w:t xml:space="preserve"> </w:t>
            </w:r>
            <w:r w:rsidR="00064B18">
              <w:rPr>
                <w:color w:val="000000"/>
                <w:sz w:val="27"/>
                <w:szCs w:val="27"/>
              </w:rPr>
              <w:t>t</w:t>
            </w:r>
            <w:r w:rsidRPr="00B96568">
              <w:rPr>
                <w:color w:val="000000"/>
                <w:sz w:val="27"/>
                <w:szCs w:val="27"/>
              </w:rPr>
              <w:t>raining</w:t>
            </w:r>
            <w:r>
              <w:rPr>
                <w:color w:val="000000"/>
                <w:sz w:val="27"/>
                <w:szCs w:val="27"/>
              </w:rPr>
              <w:t xml:space="preserve"> and testing</w:t>
            </w:r>
            <w:r w:rsidRPr="00B96568">
              <w:rPr>
                <w:color w:val="000000"/>
                <w:sz w:val="27"/>
                <w:szCs w:val="27"/>
              </w:rPr>
              <w:t xml:space="preserve"> (for each state in which </w:t>
            </w:r>
            <w:r>
              <w:rPr>
                <w:color w:val="000000"/>
                <w:sz w:val="27"/>
                <w:szCs w:val="27"/>
              </w:rPr>
              <w:t>Centene</w:t>
            </w:r>
            <w:r w:rsidRPr="00B96568">
              <w:rPr>
                <w:color w:val="000000"/>
                <w:sz w:val="27"/>
                <w:szCs w:val="27"/>
              </w:rPr>
              <w:t xml:space="preserve"> products will be sold)</w:t>
            </w:r>
            <w:r w:rsidR="008B6B54">
              <w:rPr>
                <w:color w:val="000000"/>
                <w:sz w:val="27"/>
                <w:szCs w:val="27"/>
              </w:rPr>
              <w:t>.</w:t>
            </w:r>
            <w:r w:rsidRPr="00B96568">
              <w:rPr>
                <w:color w:val="000000"/>
                <w:sz w:val="27"/>
                <w:szCs w:val="27"/>
              </w:rPr>
              <w:t xml:space="preserve"> </w:t>
            </w:r>
          </w:p>
          <w:p w:rsidR="0010744A" w:rsidRPr="00510E9D" w:rsidRDefault="0010744A" w:rsidP="00700595">
            <w:pPr>
              <w:numPr>
                <w:ilvl w:val="0"/>
                <w:numId w:val="39"/>
              </w:numPr>
              <w:spacing w:before="100" w:beforeAutospacing="1" w:after="100" w:afterAutospacing="1"/>
              <w:rPr>
                <w:color w:val="000000"/>
              </w:rPr>
            </w:pPr>
            <w:r w:rsidRPr="00B96568">
              <w:rPr>
                <w:color w:val="000000"/>
                <w:sz w:val="27"/>
                <w:szCs w:val="27"/>
              </w:rPr>
              <w:t>Complete contracting documentation</w:t>
            </w:r>
            <w:r w:rsidR="00510E9D">
              <w:rPr>
                <w:color w:val="000000"/>
                <w:sz w:val="27"/>
                <w:szCs w:val="27"/>
              </w:rPr>
              <w:t>.</w:t>
            </w:r>
            <w:r w:rsidRPr="00510E9D">
              <w:rPr>
                <w:color w:val="000000"/>
                <w:sz w:val="27"/>
                <w:szCs w:val="27"/>
              </w:rPr>
              <w:t xml:space="preserve"> </w:t>
            </w:r>
          </w:p>
          <w:p w:rsidR="00510E9D" w:rsidRPr="00510E9D" w:rsidRDefault="00765F2E" w:rsidP="00700595">
            <w:pPr>
              <w:numPr>
                <w:ilvl w:val="0"/>
                <w:numId w:val="39"/>
              </w:numPr>
              <w:spacing w:before="100" w:beforeAutospacing="1" w:after="100" w:afterAutospacing="1"/>
              <w:rPr>
                <w:color w:val="000000"/>
              </w:rPr>
            </w:pPr>
            <w:r>
              <w:rPr>
                <w:color w:val="000000"/>
                <w:sz w:val="27"/>
                <w:szCs w:val="27"/>
              </w:rPr>
              <w:t>Be a</w:t>
            </w:r>
            <w:r w:rsidR="00510E9D" w:rsidRPr="00B96568">
              <w:rPr>
                <w:color w:val="000000"/>
                <w:sz w:val="27"/>
                <w:szCs w:val="27"/>
              </w:rPr>
              <w:t xml:space="preserve">ppointed by </w:t>
            </w:r>
            <w:r w:rsidR="00510E9D">
              <w:rPr>
                <w:color w:val="000000"/>
                <w:sz w:val="27"/>
                <w:szCs w:val="27"/>
              </w:rPr>
              <w:t>Centene</w:t>
            </w:r>
            <w:r w:rsidR="00510E9D" w:rsidRPr="00B96568">
              <w:rPr>
                <w:color w:val="000000"/>
                <w:sz w:val="27"/>
                <w:szCs w:val="27"/>
              </w:rPr>
              <w:t xml:space="preserve"> pursuant to state law</w:t>
            </w:r>
            <w:r w:rsidR="00510E9D">
              <w:rPr>
                <w:color w:val="000000"/>
                <w:sz w:val="27"/>
                <w:szCs w:val="27"/>
              </w:rPr>
              <w:t>.</w:t>
            </w:r>
          </w:p>
          <w:p w:rsidR="0010744A" w:rsidRDefault="0010744A" w:rsidP="00181F4F">
            <w:pPr>
              <w:spacing w:before="100" w:beforeAutospacing="1" w:after="100" w:afterAutospacing="1"/>
              <w:rPr>
                <w:color w:val="000000"/>
                <w:sz w:val="27"/>
                <w:szCs w:val="27"/>
              </w:rPr>
            </w:pPr>
            <w:r w:rsidRPr="00B96568">
              <w:rPr>
                <w:color w:val="000000"/>
                <w:sz w:val="27"/>
                <w:szCs w:val="27"/>
              </w:rPr>
              <w:t xml:space="preserve">For </w:t>
            </w:r>
            <w:r w:rsidR="008B62B8">
              <w:rPr>
                <w:color w:val="000000"/>
                <w:sz w:val="27"/>
                <w:szCs w:val="27"/>
              </w:rPr>
              <w:t>more</w:t>
            </w:r>
            <w:r w:rsidR="008B62B8" w:rsidRPr="00B96568">
              <w:rPr>
                <w:color w:val="000000"/>
                <w:sz w:val="27"/>
                <w:szCs w:val="27"/>
              </w:rPr>
              <w:t xml:space="preserve"> </w:t>
            </w:r>
            <w:r w:rsidRPr="00B96568">
              <w:rPr>
                <w:color w:val="000000"/>
                <w:sz w:val="27"/>
                <w:szCs w:val="27"/>
              </w:rPr>
              <w:t xml:space="preserve">information about </w:t>
            </w:r>
            <w:r>
              <w:rPr>
                <w:color w:val="000000"/>
                <w:sz w:val="27"/>
                <w:szCs w:val="27"/>
              </w:rPr>
              <w:t>Centene’s</w:t>
            </w:r>
            <w:r w:rsidRPr="00B96568">
              <w:rPr>
                <w:color w:val="000000"/>
                <w:sz w:val="27"/>
                <w:szCs w:val="27"/>
              </w:rPr>
              <w:t xml:space="preserve"> contracting requirements, refer to the </w:t>
            </w:r>
            <w:r w:rsidRPr="00B24D1F">
              <w:rPr>
                <w:i/>
                <w:color w:val="000000"/>
                <w:sz w:val="27"/>
                <w:szCs w:val="27"/>
              </w:rPr>
              <w:t>Medicare Agent Broker Certification and Contracting</w:t>
            </w:r>
            <w:r w:rsidRPr="00B24D1F">
              <w:rPr>
                <w:color w:val="000000"/>
                <w:sz w:val="27"/>
                <w:szCs w:val="27"/>
              </w:rPr>
              <w:t xml:space="preserve"> </w:t>
            </w:r>
            <w:r w:rsidRPr="00B96568">
              <w:rPr>
                <w:color w:val="000000"/>
                <w:sz w:val="27"/>
                <w:szCs w:val="27"/>
              </w:rPr>
              <w:t>policy</w:t>
            </w:r>
            <w:r>
              <w:rPr>
                <w:color w:val="000000"/>
                <w:sz w:val="27"/>
                <w:szCs w:val="27"/>
              </w:rPr>
              <w:t>.</w:t>
            </w:r>
            <w:r w:rsidRPr="00B96568">
              <w:rPr>
                <w:color w:val="000000"/>
                <w:sz w:val="27"/>
                <w:szCs w:val="27"/>
              </w:rPr>
              <w:t xml:space="preserve"> </w:t>
            </w:r>
          </w:p>
          <w:p w:rsidR="0010744A" w:rsidRPr="00B96568" w:rsidRDefault="0010744A" w:rsidP="00181F4F">
            <w:pPr>
              <w:spacing w:before="100" w:beforeAutospacing="1" w:after="100" w:afterAutospacing="1"/>
              <w:rPr>
                <w:color w:val="000000"/>
              </w:rPr>
            </w:pPr>
            <w:r w:rsidRPr="00B96568">
              <w:rPr>
                <w:b/>
                <w:bCs/>
                <w:color w:val="4181C0"/>
                <w:sz w:val="36"/>
                <w:szCs w:val="36"/>
              </w:rPr>
              <w:t>Lead Management</w:t>
            </w:r>
            <w:r w:rsidRPr="00B96568">
              <w:rPr>
                <w:color w:val="000000"/>
                <w:sz w:val="27"/>
                <w:szCs w:val="27"/>
              </w:rPr>
              <w:br/>
              <w:t>Agents must obtain permission from a beneficiary prior to contacting them to schedule a sales or marketing appointment. Permission may be ob</w:t>
            </w:r>
            <w:r w:rsidR="00FD2D7E">
              <w:rPr>
                <w:color w:val="000000"/>
                <w:sz w:val="27"/>
                <w:szCs w:val="27"/>
              </w:rPr>
              <w:t>tained via a “Permission to Contact</w:t>
            </w:r>
            <w:r w:rsidRPr="00B96568">
              <w:rPr>
                <w:color w:val="000000"/>
                <w:sz w:val="27"/>
                <w:szCs w:val="27"/>
              </w:rPr>
              <w:t xml:space="preserve">” Card, also commonly referred to as a Lead Card or Business Reply Card (BRC). </w:t>
            </w:r>
            <w:r w:rsidR="00B454B3">
              <w:rPr>
                <w:color w:val="000000"/>
                <w:sz w:val="27"/>
                <w:szCs w:val="27"/>
              </w:rPr>
              <w:t xml:space="preserve"> Beneficiaries may also provide consent via a</w:t>
            </w:r>
            <w:r w:rsidR="008B62B8">
              <w:rPr>
                <w:color w:val="000000"/>
                <w:sz w:val="27"/>
                <w:szCs w:val="27"/>
              </w:rPr>
              <w:t xml:space="preserve"> sign-in sheet at sales events which allows the agent to follow-up with them after the event.</w:t>
            </w:r>
            <w:r w:rsidR="00B454B3">
              <w:rPr>
                <w:color w:val="000000"/>
                <w:sz w:val="27"/>
                <w:szCs w:val="27"/>
              </w:rPr>
              <w:t xml:space="preserve">  Agents must advise </w:t>
            </w:r>
            <w:proofErr w:type="gramStart"/>
            <w:r w:rsidR="00B454B3">
              <w:rPr>
                <w:color w:val="000000"/>
                <w:sz w:val="27"/>
                <w:szCs w:val="27"/>
              </w:rPr>
              <w:t>beneficiaries that filling out sign-in sheets is</w:t>
            </w:r>
            <w:proofErr w:type="gramEnd"/>
            <w:r w:rsidR="00B454B3">
              <w:rPr>
                <w:color w:val="000000"/>
                <w:sz w:val="27"/>
                <w:szCs w:val="27"/>
              </w:rPr>
              <w:t xml:space="preserve"> optional.</w:t>
            </w:r>
          </w:p>
          <w:p w:rsidR="0010744A" w:rsidRPr="00B96568" w:rsidRDefault="00FD2D7E" w:rsidP="00181F4F">
            <w:pPr>
              <w:spacing w:before="100" w:beforeAutospacing="1" w:after="100" w:afterAutospacing="1"/>
              <w:rPr>
                <w:color w:val="000000"/>
              </w:rPr>
            </w:pPr>
            <w:r>
              <w:rPr>
                <w:color w:val="000000"/>
                <w:sz w:val="27"/>
                <w:szCs w:val="27"/>
              </w:rPr>
              <w:t>When permission to contact</w:t>
            </w:r>
            <w:r w:rsidR="0010744A" w:rsidRPr="00B96568">
              <w:rPr>
                <w:color w:val="000000"/>
                <w:sz w:val="27"/>
                <w:szCs w:val="27"/>
              </w:rPr>
              <w:t xml:space="preserve"> is given by a beneficiary, such permission applies:</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 xml:space="preserve">Only to the agent or sales entity from which </w:t>
            </w:r>
            <w:r w:rsidR="008B6B54">
              <w:rPr>
                <w:color w:val="000000"/>
                <w:sz w:val="27"/>
                <w:szCs w:val="27"/>
              </w:rPr>
              <w:t>the individual requested contact.</w:t>
            </w:r>
            <w:r w:rsidRPr="00B96568">
              <w:rPr>
                <w:color w:val="000000"/>
                <w:sz w:val="27"/>
                <w:szCs w:val="27"/>
              </w:rPr>
              <w:t xml:space="preserve"> </w:t>
            </w:r>
          </w:p>
          <w:p w:rsidR="0010744A" w:rsidRPr="00B24D1F" w:rsidRDefault="0010744A" w:rsidP="00700595">
            <w:pPr>
              <w:numPr>
                <w:ilvl w:val="0"/>
                <w:numId w:val="39"/>
              </w:numPr>
              <w:spacing w:before="100" w:beforeAutospacing="1" w:afterAutospacing="1"/>
              <w:rPr>
                <w:color w:val="000000"/>
              </w:rPr>
            </w:pPr>
            <w:r w:rsidRPr="00B24D1F">
              <w:rPr>
                <w:color w:val="000000"/>
                <w:sz w:val="27"/>
                <w:szCs w:val="27"/>
              </w:rPr>
              <w:t>For the duration of that transaction</w:t>
            </w:r>
            <w:r w:rsidR="008B6B54">
              <w:rPr>
                <w:color w:val="000000"/>
                <w:sz w:val="27"/>
                <w:szCs w:val="27"/>
              </w:rPr>
              <w:t>.</w:t>
            </w:r>
          </w:p>
          <w:p w:rsidR="0010744A" w:rsidRPr="000F55AD" w:rsidRDefault="0010744A" w:rsidP="00700595">
            <w:pPr>
              <w:numPr>
                <w:ilvl w:val="0"/>
                <w:numId w:val="39"/>
              </w:numPr>
              <w:spacing w:before="100" w:beforeAutospacing="1" w:afterAutospacing="1"/>
              <w:rPr>
                <w:color w:val="000000"/>
              </w:rPr>
            </w:pPr>
            <w:r w:rsidRPr="00B24D1F">
              <w:rPr>
                <w:color w:val="000000"/>
                <w:sz w:val="27"/>
                <w:szCs w:val="27"/>
              </w:rPr>
              <w:t>For the scope of products previously discussed or specified</w:t>
            </w:r>
            <w:r w:rsidR="00EA3D95">
              <w:rPr>
                <w:color w:val="000000"/>
                <w:sz w:val="27"/>
                <w:szCs w:val="27"/>
              </w:rPr>
              <w:t>.</w:t>
            </w:r>
            <w:r w:rsidRPr="00B24D1F">
              <w:rPr>
                <w:color w:val="000000"/>
                <w:sz w:val="27"/>
                <w:szCs w:val="27"/>
              </w:rPr>
              <w:t xml:space="preserve"> </w:t>
            </w:r>
          </w:p>
          <w:p w:rsidR="0010744A" w:rsidRPr="00B24D1F" w:rsidRDefault="0010744A" w:rsidP="00181F4F">
            <w:pPr>
              <w:spacing w:before="100" w:beforeAutospacing="1" w:afterAutospacing="1"/>
              <w:ind w:left="360" w:hanging="360"/>
              <w:rPr>
                <w:color w:val="000000"/>
              </w:rPr>
            </w:pPr>
            <w:r w:rsidRPr="00B24D1F">
              <w:rPr>
                <w:color w:val="000000"/>
                <w:sz w:val="27"/>
                <w:szCs w:val="27"/>
              </w:rPr>
              <w:lastRenderedPageBreak/>
              <w:t xml:space="preserve">Permission to contact may not be treated as open-ended permission for future contact </w:t>
            </w:r>
          </w:p>
          <w:p w:rsidR="0010744A" w:rsidRPr="00B96568" w:rsidRDefault="0010744A" w:rsidP="00181F4F">
            <w:pPr>
              <w:spacing w:before="100" w:beforeAutospacing="1" w:after="100" w:afterAutospacing="1"/>
              <w:rPr>
                <w:color w:val="000000"/>
              </w:rPr>
            </w:pPr>
            <w:r w:rsidRPr="00B96568">
              <w:rPr>
                <w:color w:val="000000"/>
                <w:sz w:val="27"/>
                <w:szCs w:val="27"/>
              </w:rPr>
              <w:t>Unsolicited, direct contact of beneficiaries is strictly prohibited, including, but not limited to:</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Door-to-door solicitation</w:t>
            </w:r>
            <w:r w:rsidR="008B6B54">
              <w:rPr>
                <w:color w:val="000000"/>
                <w:sz w:val="27"/>
                <w:szCs w:val="27"/>
              </w:rPr>
              <w:t>.</w:t>
            </w:r>
            <w:r w:rsidRPr="00B96568">
              <w:rPr>
                <w:color w:val="000000"/>
                <w:sz w:val="27"/>
                <w:szCs w:val="27"/>
              </w:rPr>
              <w:t xml:space="preserve"> </w:t>
            </w:r>
          </w:p>
          <w:p w:rsidR="0010744A" w:rsidRPr="00A20224" w:rsidRDefault="0010744A" w:rsidP="00700595">
            <w:pPr>
              <w:numPr>
                <w:ilvl w:val="0"/>
                <w:numId w:val="39"/>
              </w:numPr>
              <w:spacing w:before="100" w:beforeAutospacing="1" w:after="100" w:afterAutospacing="1"/>
              <w:rPr>
                <w:color w:val="000000"/>
              </w:rPr>
            </w:pPr>
            <w:r w:rsidRPr="00B96568">
              <w:rPr>
                <w:color w:val="000000"/>
                <w:sz w:val="27"/>
                <w:szCs w:val="27"/>
              </w:rPr>
              <w:t>Telephonic solicitation</w:t>
            </w:r>
            <w:r w:rsidR="008B6B54">
              <w:rPr>
                <w:color w:val="000000"/>
                <w:sz w:val="27"/>
                <w:szCs w:val="27"/>
              </w:rPr>
              <w:t>.</w:t>
            </w:r>
            <w:r w:rsidRPr="00B96568">
              <w:rPr>
                <w:color w:val="000000"/>
                <w:sz w:val="27"/>
                <w:szCs w:val="27"/>
              </w:rPr>
              <w:t xml:space="preserve"> </w:t>
            </w:r>
          </w:p>
          <w:p w:rsidR="00A20224" w:rsidRPr="00A20224" w:rsidRDefault="00A20224" w:rsidP="00700595">
            <w:pPr>
              <w:numPr>
                <w:ilvl w:val="0"/>
                <w:numId w:val="39"/>
              </w:numPr>
              <w:spacing w:before="100" w:beforeAutospacing="1" w:after="100" w:afterAutospacing="1"/>
              <w:rPr>
                <w:sz w:val="27"/>
                <w:szCs w:val="27"/>
              </w:rPr>
            </w:pPr>
            <w:r w:rsidRPr="00A20224">
              <w:rPr>
                <w:sz w:val="27"/>
                <w:szCs w:val="27"/>
              </w:rPr>
              <w:t>Text messaging and other forms of electronic direct messaging (e.g., social media platforms)</w:t>
            </w:r>
            <w:r w:rsidR="00574ED9">
              <w:rPr>
                <w:sz w:val="27"/>
                <w:szCs w:val="27"/>
              </w:rPr>
              <w:t>.</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Distribution of information at a residence or car</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Approaching beneficiaries in common areas</w:t>
            </w:r>
            <w:r w:rsidR="008B6B54">
              <w:rPr>
                <w:color w:val="000000"/>
                <w:sz w:val="27"/>
                <w:szCs w:val="27"/>
              </w:rPr>
              <w:t>.</w:t>
            </w:r>
            <w:r w:rsidRPr="00B96568">
              <w:rPr>
                <w:color w:val="000000"/>
                <w:sz w:val="27"/>
                <w:szCs w:val="27"/>
              </w:rPr>
              <w:t xml:space="preserve"> </w:t>
            </w:r>
          </w:p>
          <w:p w:rsidR="0010744A" w:rsidRDefault="0010744A" w:rsidP="00181F4F">
            <w:pPr>
              <w:rPr>
                <w:color w:val="000000"/>
                <w:sz w:val="27"/>
                <w:szCs w:val="27"/>
              </w:rPr>
            </w:pPr>
            <w:r>
              <w:rPr>
                <w:color w:val="000000"/>
                <w:sz w:val="27"/>
                <w:szCs w:val="27"/>
              </w:rPr>
              <w:t xml:space="preserve">Electronic communications </w:t>
            </w:r>
            <w:r w:rsidR="004C4A1F">
              <w:rPr>
                <w:color w:val="000000"/>
                <w:sz w:val="27"/>
                <w:szCs w:val="27"/>
              </w:rPr>
              <w:t xml:space="preserve">(emails) </w:t>
            </w:r>
            <w:r>
              <w:rPr>
                <w:color w:val="000000"/>
                <w:sz w:val="27"/>
                <w:szCs w:val="27"/>
              </w:rPr>
              <w:t xml:space="preserve">are </w:t>
            </w:r>
            <w:r w:rsidR="00064B18">
              <w:rPr>
                <w:color w:val="000000"/>
                <w:sz w:val="27"/>
                <w:szCs w:val="27"/>
              </w:rPr>
              <w:t xml:space="preserve">not </w:t>
            </w:r>
            <w:r>
              <w:rPr>
                <w:color w:val="000000"/>
                <w:sz w:val="27"/>
                <w:szCs w:val="27"/>
              </w:rPr>
              <w:t>considered unsolicited direct contact of beneficiaries</w:t>
            </w:r>
            <w:r w:rsidR="00EA3D95">
              <w:rPr>
                <w:color w:val="000000"/>
                <w:sz w:val="27"/>
                <w:szCs w:val="27"/>
              </w:rPr>
              <w:t>;</w:t>
            </w:r>
            <w:r w:rsidR="00A91DC1">
              <w:rPr>
                <w:color w:val="000000"/>
                <w:sz w:val="27"/>
                <w:szCs w:val="27"/>
              </w:rPr>
              <w:t xml:space="preserve"> however</w:t>
            </w:r>
            <w:r w:rsidR="00EA3D95">
              <w:rPr>
                <w:color w:val="000000"/>
                <w:sz w:val="27"/>
                <w:szCs w:val="27"/>
              </w:rPr>
              <w:t>,</w:t>
            </w:r>
            <w:r w:rsidR="00362063">
              <w:rPr>
                <w:color w:val="000000"/>
                <w:sz w:val="27"/>
                <w:szCs w:val="27"/>
              </w:rPr>
              <w:t xml:space="preserve"> </w:t>
            </w:r>
            <w:r>
              <w:rPr>
                <w:color w:val="000000"/>
                <w:sz w:val="27"/>
                <w:szCs w:val="27"/>
              </w:rPr>
              <w:t xml:space="preserve">CMS requires that all emails to potential enrollees include an opt-out process. </w:t>
            </w:r>
            <w:r w:rsidR="00362063">
              <w:rPr>
                <w:color w:val="000000"/>
                <w:sz w:val="27"/>
                <w:szCs w:val="27"/>
              </w:rPr>
              <w:t xml:space="preserve">Any marketing done via this method </w:t>
            </w:r>
            <w:r w:rsidR="008B62B8">
              <w:rPr>
                <w:color w:val="000000"/>
                <w:sz w:val="27"/>
                <w:szCs w:val="27"/>
              </w:rPr>
              <w:t>requires</w:t>
            </w:r>
            <w:r w:rsidR="00362063">
              <w:rPr>
                <w:color w:val="000000"/>
                <w:sz w:val="27"/>
                <w:szCs w:val="27"/>
              </w:rPr>
              <w:t xml:space="preserve"> </w:t>
            </w:r>
            <w:r w:rsidR="00362063" w:rsidRPr="008B62B8">
              <w:rPr>
                <w:b/>
                <w:color w:val="000000"/>
                <w:sz w:val="27"/>
                <w:szCs w:val="27"/>
              </w:rPr>
              <w:t xml:space="preserve">prior </w:t>
            </w:r>
            <w:r w:rsidR="000E3369">
              <w:rPr>
                <w:b/>
                <w:color w:val="000000"/>
                <w:sz w:val="27"/>
                <w:szCs w:val="27"/>
              </w:rPr>
              <w:t xml:space="preserve">content </w:t>
            </w:r>
            <w:r w:rsidR="00362063" w:rsidRPr="008B62B8">
              <w:rPr>
                <w:b/>
                <w:color w:val="000000"/>
                <w:sz w:val="27"/>
                <w:szCs w:val="27"/>
              </w:rPr>
              <w:t>approval by Centene</w:t>
            </w:r>
            <w:r w:rsidR="00184FC5">
              <w:rPr>
                <w:color w:val="000000"/>
                <w:sz w:val="27"/>
                <w:szCs w:val="27"/>
              </w:rPr>
              <w:t>.</w:t>
            </w:r>
          </w:p>
          <w:p w:rsidR="0010744A" w:rsidRPr="00B96568" w:rsidRDefault="0010744A" w:rsidP="00181F4F">
            <w:pPr>
              <w:rPr>
                <w:color w:val="000000"/>
              </w:rPr>
            </w:pPr>
            <w:r w:rsidRPr="00B96568">
              <w:rPr>
                <w:color w:val="000000"/>
                <w:sz w:val="27"/>
                <w:szCs w:val="27"/>
              </w:rPr>
              <w:br/>
              <w:t xml:space="preserve">Prohibited telephonic activities include: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Calls to beneficiaries based on leads obtained from other sources</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Bait-and-Switch strategies - making unsolicited calls about other business as a means of generating leads for Medicare plans</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 xml:space="preserve">Calls to a sales event attendee, unless the attendee gave </w:t>
            </w:r>
            <w:r w:rsidR="00A91DC1">
              <w:rPr>
                <w:color w:val="000000"/>
                <w:sz w:val="27"/>
                <w:szCs w:val="27"/>
              </w:rPr>
              <w:t>specific</w:t>
            </w:r>
            <w:r w:rsidR="00A91DC1" w:rsidRPr="00B96568">
              <w:rPr>
                <w:color w:val="000000"/>
                <w:sz w:val="27"/>
                <w:szCs w:val="27"/>
              </w:rPr>
              <w:t xml:space="preserve"> </w:t>
            </w:r>
            <w:r w:rsidRPr="00B96568">
              <w:rPr>
                <w:color w:val="000000"/>
                <w:sz w:val="27"/>
                <w:szCs w:val="27"/>
              </w:rPr>
              <w:t>written permission at the event for a follow-up call</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Calls based on referrals</w:t>
            </w:r>
            <w:r w:rsidR="008B6B54">
              <w:rPr>
                <w:color w:val="000000"/>
                <w:sz w:val="27"/>
                <w:szCs w:val="27"/>
              </w:rPr>
              <w:t>.</w:t>
            </w:r>
            <w:r w:rsidRPr="00B96568">
              <w:rPr>
                <w:color w:val="000000"/>
                <w:sz w:val="27"/>
                <w:szCs w:val="27"/>
              </w:rPr>
              <w:t xml:space="preserve"> </w:t>
            </w:r>
          </w:p>
          <w:p w:rsidR="0010744A" w:rsidRPr="00B96568" w:rsidRDefault="00510E9D" w:rsidP="00700595">
            <w:pPr>
              <w:numPr>
                <w:ilvl w:val="0"/>
                <w:numId w:val="39"/>
              </w:numPr>
              <w:spacing w:before="100" w:beforeAutospacing="1" w:after="100" w:afterAutospacing="1"/>
              <w:rPr>
                <w:color w:val="000000"/>
              </w:rPr>
            </w:pPr>
            <w:r>
              <w:rPr>
                <w:color w:val="000000"/>
                <w:sz w:val="27"/>
                <w:szCs w:val="27"/>
              </w:rPr>
              <w:t>Calls to former</w:t>
            </w:r>
            <w:r w:rsidR="0010744A" w:rsidRPr="00B96568">
              <w:rPr>
                <w:color w:val="000000"/>
                <w:sz w:val="27"/>
                <w:szCs w:val="27"/>
              </w:rPr>
              <w:t xml:space="preserve"> </w:t>
            </w:r>
            <w:r>
              <w:rPr>
                <w:color w:val="000000"/>
                <w:sz w:val="27"/>
                <w:szCs w:val="27"/>
              </w:rPr>
              <w:t>enrollees</w:t>
            </w:r>
            <w:r w:rsidR="0010744A" w:rsidRPr="00B96568">
              <w:rPr>
                <w:color w:val="000000"/>
                <w:sz w:val="27"/>
                <w:szCs w:val="27"/>
              </w:rPr>
              <w:t xml:space="preserve"> who have </w:t>
            </w:r>
            <w:proofErr w:type="spellStart"/>
            <w:r w:rsidR="0010744A" w:rsidRPr="00B96568">
              <w:rPr>
                <w:color w:val="000000"/>
                <w:sz w:val="27"/>
                <w:szCs w:val="27"/>
              </w:rPr>
              <w:t>disenrolled</w:t>
            </w:r>
            <w:proofErr w:type="spellEnd"/>
            <w:r>
              <w:rPr>
                <w:color w:val="000000"/>
                <w:sz w:val="27"/>
                <w:szCs w:val="27"/>
              </w:rPr>
              <w:t>, or to current enrollees</w:t>
            </w:r>
            <w:r w:rsidR="0010744A" w:rsidRPr="00B96568">
              <w:rPr>
                <w:color w:val="000000"/>
                <w:sz w:val="27"/>
                <w:szCs w:val="27"/>
              </w:rPr>
              <w:t xml:space="preserve"> who are in the process of voluntarily disenrolling</w:t>
            </w:r>
            <w:r w:rsidR="008B6B54">
              <w:rPr>
                <w:color w:val="000000"/>
                <w:sz w:val="27"/>
                <w:szCs w:val="27"/>
              </w:rPr>
              <w:t>.</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Calls to beneficiaries to confirm receipt of mailed information</w:t>
            </w:r>
            <w:r w:rsidR="008B6B54">
              <w:rPr>
                <w:color w:val="000000"/>
                <w:sz w:val="27"/>
                <w:szCs w:val="27"/>
              </w:rPr>
              <w:t>.</w:t>
            </w:r>
            <w:r w:rsidRPr="00B96568">
              <w:rPr>
                <w:color w:val="000000"/>
                <w:sz w:val="27"/>
                <w:szCs w:val="27"/>
              </w:rPr>
              <w:t xml:space="preserve"> </w:t>
            </w:r>
          </w:p>
          <w:p w:rsidR="00E167ED" w:rsidRDefault="0010744A" w:rsidP="0088552E">
            <w:pPr>
              <w:spacing w:before="100" w:beforeAutospacing="1" w:after="100" w:afterAutospacing="1"/>
              <w:rPr>
                <w:color w:val="000000"/>
                <w:sz w:val="27"/>
                <w:szCs w:val="27"/>
              </w:rPr>
            </w:pPr>
            <w:r w:rsidRPr="00B96568">
              <w:rPr>
                <w:b/>
                <w:bCs/>
                <w:color w:val="4181C0"/>
                <w:sz w:val="36"/>
                <w:szCs w:val="36"/>
              </w:rPr>
              <w:t>Event Management</w:t>
            </w:r>
            <w:r w:rsidRPr="00B96568">
              <w:rPr>
                <w:color w:val="000000"/>
              </w:rPr>
              <w:br/>
            </w:r>
            <w:r>
              <w:rPr>
                <w:color w:val="000000"/>
                <w:sz w:val="27"/>
                <w:szCs w:val="27"/>
              </w:rPr>
              <w:t xml:space="preserve">Educational and </w:t>
            </w:r>
            <w:r w:rsidRPr="00B96568">
              <w:rPr>
                <w:color w:val="000000"/>
                <w:sz w:val="27"/>
                <w:szCs w:val="27"/>
              </w:rPr>
              <w:t>Marketing</w:t>
            </w:r>
            <w:r>
              <w:rPr>
                <w:color w:val="000000"/>
                <w:sz w:val="27"/>
                <w:szCs w:val="27"/>
              </w:rPr>
              <w:t>/</w:t>
            </w:r>
            <w:r w:rsidRPr="00B96568">
              <w:rPr>
                <w:color w:val="000000"/>
                <w:sz w:val="27"/>
                <w:szCs w:val="27"/>
              </w:rPr>
              <w:t>Sales Events must be conducted in accordance with CMS’</w:t>
            </w:r>
            <w:r>
              <w:rPr>
                <w:color w:val="000000"/>
                <w:sz w:val="27"/>
                <w:szCs w:val="27"/>
              </w:rPr>
              <w:t>s</w:t>
            </w:r>
            <w:r w:rsidRPr="00B96568">
              <w:rPr>
                <w:color w:val="000000"/>
                <w:sz w:val="27"/>
                <w:szCs w:val="27"/>
              </w:rPr>
              <w:t xml:space="preserve"> Medicare </w:t>
            </w:r>
            <w:r w:rsidR="00EA3D95">
              <w:rPr>
                <w:color w:val="000000"/>
                <w:sz w:val="27"/>
                <w:szCs w:val="27"/>
              </w:rPr>
              <w:t xml:space="preserve">Communication and </w:t>
            </w:r>
            <w:r w:rsidRPr="00B96568">
              <w:rPr>
                <w:color w:val="000000"/>
                <w:sz w:val="27"/>
                <w:szCs w:val="27"/>
              </w:rPr>
              <w:t>Marketing Guidelines</w:t>
            </w:r>
            <w:r w:rsidR="00923346">
              <w:rPr>
                <w:color w:val="000000"/>
                <w:sz w:val="27"/>
                <w:szCs w:val="27"/>
              </w:rPr>
              <w:t xml:space="preserve"> (MCMG)</w:t>
            </w:r>
            <w:r w:rsidR="00EA3D95">
              <w:rPr>
                <w:color w:val="000000"/>
                <w:sz w:val="27"/>
                <w:szCs w:val="27"/>
              </w:rPr>
              <w:t>,</w:t>
            </w:r>
            <w:r w:rsidRPr="00B96568">
              <w:rPr>
                <w:color w:val="000000"/>
                <w:sz w:val="27"/>
                <w:szCs w:val="27"/>
              </w:rPr>
              <w:t xml:space="preserve"> which specif</w:t>
            </w:r>
            <w:r w:rsidR="008B62B8">
              <w:rPr>
                <w:color w:val="000000"/>
                <w:sz w:val="27"/>
                <w:szCs w:val="27"/>
              </w:rPr>
              <w:t>ies</w:t>
            </w:r>
            <w:r w:rsidRPr="00B96568">
              <w:rPr>
                <w:color w:val="000000"/>
                <w:sz w:val="27"/>
                <w:szCs w:val="27"/>
              </w:rPr>
              <w:t xml:space="preserve"> requirements related to sales and marketing activities, including</w:t>
            </w:r>
            <w:r w:rsidR="00362063">
              <w:rPr>
                <w:color w:val="000000"/>
                <w:sz w:val="27"/>
                <w:szCs w:val="27"/>
              </w:rPr>
              <w:t xml:space="preserve"> event</w:t>
            </w:r>
            <w:r w:rsidRPr="00B96568">
              <w:rPr>
                <w:color w:val="000000"/>
                <w:sz w:val="27"/>
                <w:szCs w:val="27"/>
              </w:rPr>
              <w:t xml:space="preserve"> locations, materials, and gifts/promotional items. </w:t>
            </w:r>
            <w:r w:rsidRPr="00B96568">
              <w:rPr>
                <w:color w:val="000000"/>
                <w:sz w:val="27"/>
                <w:szCs w:val="27"/>
              </w:rPr>
              <w:br/>
            </w:r>
            <w:r w:rsidRPr="00B96568">
              <w:rPr>
                <w:color w:val="000000"/>
                <w:sz w:val="27"/>
                <w:szCs w:val="27"/>
              </w:rPr>
              <w:br/>
            </w:r>
            <w:r w:rsidRPr="00B96568">
              <w:rPr>
                <w:b/>
                <w:bCs/>
                <w:color w:val="4181C0"/>
                <w:sz w:val="36"/>
                <w:szCs w:val="36"/>
              </w:rPr>
              <w:t>Event Reporting</w:t>
            </w:r>
            <w:r w:rsidRPr="00B96568">
              <w:rPr>
                <w:color w:val="000000"/>
                <w:sz w:val="27"/>
                <w:szCs w:val="27"/>
              </w:rPr>
              <w:br/>
            </w:r>
            <w:r w:rsidR="004C4A1F" w:rsidRPr="004C4A1F">
              <w:rPr>
                <w:color w:val="000000"/>
                <w:sz w:val="27"/>
                <w:szCs w:val="27"/>
              </w:rPr>
              <w:t>Centene requires all Agents who conduct educational or marketing events to notify Centene in advance of the event.  Notifications are expected by the 10th of the month preceding the event.  Agents unable to submit by this time frame may re</w:t>
            </w:r>
            <w:r w:rsidR="000E3369">
              <w:rPr>
                <w:color w:val="000000"/>
                <w:sz w:val="27"/>
                <w:szCs w:val="27"/>
              </w:rPr>
              <w:t xml:space="preserve">quest an exception from their Account </w:t>
            </w:r>
            <w:r w:rsidR="000E3369">
              <w:rPr>
                <w:color w:val="000000"/>
                <w:sz w:val="27"/>
                <w:szCs w:val="27"/>
              </w:rPr>
              <w:lastRenderedPageBreak/>
              <w:t>Executive</w:t>
            </w:r>
            <w:r w:rsidR="004C4A1F" w:rsidRPr="004C4A1F">
              <w:rPr>
                <w:color w:val="000000"/>
                <w:sz w:val="27"/>
                <w:szCs w:val="27"/>
              </w:rPr>
              <w:t xml:space="preserve"> but are expected to provide notification no later than 5 days prior to the event date. </w:t>
            </w:r>
            <w:r w:rsidRPr="00B96568">
              <w:rPr>
                <w:color w:val="000000"/>
                <w:sz w:val="27"/>
                <w:szCs w:val="27"/>
              </w:rPr>
              <w:t xml:space="preserve">Reporting of sales events should be submitted via </w:t>
            </w:r>
            <w:r>
              <w:rPr>
                <w:color w:val="000000"/>
                <w:sz w:val="27"/>
                <w:szCs w:val="27"/>
              </w:rPr>
              <w:t>Centene’s</w:t>
            </w:r>
            <w:r w:rsidRPr="00B96568">
              <w:rPr>
                <w:color w:val="000000"/>
                <w:sz w:val="27"/>
                <w:szCs w:val="27"/>
              </w:rPr>
              <w:t xml:space="preserve"> Event Submission Template which can be obtained from the assigned </w:t>
            </w:r>
            <w:r w:rsidR="000E3369">
              <w:rPr>
                <w:color w:val="000000"/>
                <w:sz w:val="27"/>
                <w:szCs w:val="27"/>
              </w:rPr>
              <w:t>Account Executive (AE), Market Manager (MM), Regional Sales Manager (RSM) or Regional Sales Director (RSD)</w:t>
            </w:r>
            <w:r w:rsidRPr="00B96568">
              <w:rPr>
                <w:color w:val="000000"/>
                <w:sz w:val="27"/>
                <w:szCs w:val="27"/>
              </w:rPr>
              <w:t xml:space="preserve">. </w:t>
            </w:r>
            <w:r w:rsidR="00EB1753">
              <w:rPr>
                <w:color w:val="000000"/>
                <w:sz w:val="27"/>
                <w:szCs w:val="27"/>
              </w:rPr>
              <w:t xml:space="preserve"> When an agent reports a sales e</w:t>
            </w:r>
            <w:r w:rsidR="00EB1753" w:rsidRPr="00B96568">
              <w:rPr>
                <w:color w:val="000000"/>
                <w:sz w:val="27"/>
                <w:szCs w:val="27"/>
              </w:rPr>
              <w:t xml:space="preserve">vent to </w:t>
            </w:r>
            <w:r w:rsidR="00EB1753">
              <w:rPr>
                <w:color w:val="000000"/>
                <w:sz w:val="27"/>
                <w:szCs w:val="27"/>
              </w:rPr>
              <w:t>Centene</w:t>
            </w:r>
            <w:r w:rsidR="00EB1753" w:rsidRPr="00B96568">
              <w:rPr>
                <w:color w:val="000000"/>
                <w:sz w:val="27"/>
                <w:szCs w:val="27"/>
              </w:rPr>
              <w:t xml:space="preserve">, a </w:t>
            </w:r>
            <w:r w:rsidR="00EB1753">
              <w:rPr>
                <w:color w:val="000000"/>
                <w:sz w:val="27"/>
                <w:szCs w:val="27"/>
              </w:rPr>
              <w:t>Centene</w:t>
            </w:r>
            <w:r w:rsidR="00EB1753" w:rsidRPr="00B96568">
              <w:rPr>
                <w:color w:val="000000"/>
                <w:sz w:val="27"/>
                <w:szCs w:val="27"/>
              </w:rPr>
              <w:t xml:space="preserve"> plan must be presented at that specific event.</w:t>
            </w:r>
            <w:r w:rsidR="00E167ED">
              <w:rPr>
                <w:color w:val="000000"/>
                <w:sz w:val="27"/>
                <w:szCs w:val="27"/>
              </w:rPr>
              <w:t xml:space="preserve">  </w:t>
            </w:r>
          </w:p>
          <w:p w:rsidR="0010744A" w:rsidRPr="00B96568" w:rsidRDefault="0010744A" w:rsidP="00995FCA">
            <w:pPr>
              <w:spacing w:before="100" w:beforeAutospacing="1" w:after="100" w:afterAutospacing="1"/>
              <w:rPr>
                <w:color w:val="000000"/>
              </w:rPr>
            </w:pPr>
            <w:r w:rsidRPr="00B96568">
              <w:rPr>
                <w:color w:val="000000"/>
                <w:sz w:val="27"/>
                <w:szCs w:val="27"/>
              </w:rPr>
              <w:t xml:space="preserve">Cancellations </w:t>
            </w:r>
            <w:r>
              <w:rPr>
                <w:color w:val="000000"/>
                <w:sz w:val="27"/>
                <w:szCs w:val="27"/>
              </w:rPr>
              <w:t>and changes to sales events should</w:t>
            </w:r>
            <w:r w:rsidRPr="00B96568">
              <w:rPr>
                <w:color w:val="000000"/>
                <w:sz w:val="27"/>
                <w:szCs w:val="27"/>
              </w:rPr>
              <w:t xml:space="preserve"> be submitted to </w:t>
            </w:r>
            <w:r>
              <w:rPr>
                <w:color w:val="000000"/>
                <w:sz w:val="27"/>
                <w:szCs w:val="27"/>
              </w:rPr>
              <w:t>Centene</w:t>
            </w:r>
            <w:r w:rsidRPr="00B96568">
              <w:rPr>
                <w:color w:val="000000"/>
                <w:sz w:val="27"/>
                <w:szCs w:val="27"/>
              </w:rPr>
              <w:t xml:space="preserve"> </w:t>
            </w:r>
            <w:r w:rsidRPr="00B96568">
              <w:rPr>
                <w:color w:val="000000"/>
                <w:sz w:val="27"/>
                <w:szCs w:val="27"/>
                <w:u w:val="single"/>
              </w:rPr>
              <w:t>at least</w:t>
            </w:r>
            <w:r w:rsidRPr="00B96568">
              <w:rPr>
                <w:color w:val="000000"/>
                <w:sz w:val="27"/>
                <w:szCs w:val="27"/>
              </w:rPr>
              <w:t xml:space="preserve"> 48 hours prior to the event’s scheduled date. </w:t>
            </w:r>
            <w:r w:rsidR="00E167ED">
              <w:rPr>
                <w:color w:val="000000"/>
                <w:sz w:val="27"/>
                <w:szCs w:val="27"/>
              </w:rPr>
              <w:t xml:space="preserve"> </w:t>
            </w:r>
            <w:r w:rsidRPr="00B96568">
              <w:rPr>
                <w:color w:val="000000"/>
                <w:sz w:val="27"/>
                <w:szCs w:val="27"/>
              </w:rPr>
              <w:t>In the event that 48 hours advance notice cannot be provided, coordinate with your AE</w:t>
            </w:r>
            <w:r>
              <w:rPr>
                <w:color w:val="000000"/>
                <w:sz w:val="27"/>
                <w:szCs w:val="27"/>
              </w:rPr>
              <w:t>, MM</w:t>
            </w:r>
            <w:r w:rsidR="00FD2D7E">
              <w:rPr>
                <w:color w:val="000000"/>
                <w:sz w:val="27"/>
                <w:szCs w:val="27"/>
              </w:rPr>
              <w:t>,</w:t>
            </w:r>
            <w:r w:rsidRPr="00B96568">
              <w:rPr>
                <w:color w:val="000000"/>
                <w:sz w:val="27"/>
                <w:szCs w:val="27"/>
              </w:rPr>
              <w:t xml:space="preserve"> RSM </w:t>
            </w:r>
            <w:r w:rsidR="00FD2D7E">
              <w:rPr>
                <w:color w:val="000000"/>
                <w:sz w:val="27"/>
                <w:szCs w:val="27"/>
              </w:rPr>
              <w:t xml:space="preserve">or RSD </w:t>
            </w:r>
            <w:r w:rsidRPr="00B96568">
              <w:rPr>
                <w:color w:val="000000"/>
                <w:sz w:val="27"/>
                <w:szCs w:val="27"/>
              </w:rPr>
              <w:t>to have a representative present at the event location at least 15 minutes prior to, through 15 minutes after the scheduled start time to inform beneficiaries of the cancellation or change.</w:t>
            </w:r>
          </w:p>
          <w:p w:rsidR="0010744A" w:rsidRPr="00B96568" w:rsidRDefault="0010744A" w:rsidP="00995FCA">
            <w:pPr>
              <w:spacing w:before="100" w:beforeAutospacing="1" w:after="100" w:afterAutospacing="1"/>
              <w:rPr>
                <w:color w:val="000000"/>
              </w:rPr>
            </w:pPr>
            <w:r w:rsidRPr="00B96568">
              <w:rPr>
                <w:color w:val="000000"/>
                <w:sz w:val="27"/>
                <w:szCs w:val="27"/>
              </w:rPr>
              <w:t>If the event was cancelled due to inclement weather, a representative is not required to be present at the site. However, notification to the AE</w:t>
            </w:r>
            <w:r>
              <w:rPr>
                <w:color w:val="000000"/>
                <w:sz w:val="27"/>
                <w:szCs w:val="27"/>
              </w:rPr>
              <w:t>, MM</w:t>
            </w:r>
            <w:r w:rsidR="00EA3D95">
              <w:rPr>
                <w:color w:val="000000"/>
                <w:sz w:val="27"/>
                <w:szCs w:val="27"/>
              </w:rPr>
              <w:t>,</w:t>
            </w:r>
            <w:r w:rsidRPr="00B96568">
              <w:rPr>
                <w:color w:val="000000"/>
                <w:sz w:val="27"/>
                <w:szCs w:val="27"/>
              </w:rPr>
              <w:t xml:space="preserve"> RSM</w:t>
            </w:r>
            <w:r w:rsidR="00EA3D95">
              <w:rPr>
                <w:color w:val="000000"/>
                <w:sz w:val="27"/>
                <w:szCs w:val="27"/>
              </w:rPr>
              <w:t xml:space="preserve">, or RSD </w:t>
            </w:r>
            <w:r w:rsidRPr="00B96568">
              <w:rPr>
                <w:color w:val="000000"/>
                <w:sz w:val="27"/>
                <w:szCs w:val="27"/>
              </w:rPr>
              <w:t>must include a brief explanation of the cancellation reason.</w:t>
            </w:r>
          </w:p>
          <w:p w:rsidR="0010744A" w:rsidRPr="00B96568" w:rsidRDefault="0010744A" w:rsidP="00181F4F">
            <w:pPr>
              <w:spacing w:before="100" w:beforeAutospacing="1" w:after="100" w:afterAutospacing="1"/>
              <w:rPr>
                <w:color w:val="000000"/>
              </w:rPr>
            </w:pPr>
            <w:r w:rsidRPr="00B96568">
              <w:rPr>
                <w:b/>
                <w:bCs/>
                <w:color w:val="4181C0"/>
                <w:sz w:val="36"/>
                <w:szCs w:val="36"/>
              </w:rPr>
              <w:t>Managing Events</w:t>
            </w:r>
            <w:r w:rsidRPr="00B96568">
              <w:rPr>
                <w:color w:val="000000"/>
                <w:sz w:val="27"/>
                <w:szCs w:val="27"/>
              </w:rPr>
              <w:br/>
            </w:r>
            <w:r>
              <w:rPr>
                <w:color w:val="000000"/>
                <w:sz w:val="27"/>
                <w:szCs w:val="27"/>
              </w:rPr>
              <w:t>Centene</w:t>
            </w:r>
            <w:r w:rsidRPr="00B96568">
              <w:rPr>
                <w:color w:val="000000"/>
                <w:sz w:val="27"/>
                <w:szCs w:val="27"/>
              </w:rPr>
              <w:t xml:space="preserve"> strongly recommends that Agents implement the following event management practices: </w:t>
            </w:r>
          </w:p>
          <w:p w:rsidR="005B4F2E" w:rsidRDefault="0010744A" w:rsidP="00700595">
            <w:pPr>
              <w:pStyle w:val="ListParagraph"/>
              <w:numPr>
                <w:ilvl w:val="0"/>
                <w:numId w:val="39"/>
              </w:numPr>
              <w:spacing w:before="100" w:beforeAutospacing="1" w:after="100" w:afterAutospacing="1"/>
              <w:rPr>
                <w:color w:val="000000"/>
                <w:sz w:val="27"/>
                <w:szCs w:val="27"/>
              </w:rPr>
            </w:pPr>
            <w:r w:rsidRPr="005B4F2E">
              <w:rPr>
                <w:color w:val="000000"/>
                <w:sz w:val="27"/>
                <w:szCs w:val="27"/>
              </w:rPr>
              <w:t>Arrive at least 15 minutes early</w:t>
            </w:r>
            <w:r w:rsidR="008B6B54" w:rsidRPr="005B4F2E">
              <w:rPr>
                <w:color w:val="000000"/>
                <w:sz w:val="27"/>
                <w:szCs w:val="27"/>
              </w:rPr>
              <w:t>.</w:t>
            </w:r>
            <w:r w:rsidRPr="005B4F2E">
              <w:rPr>
                <w:color w:val="000000"/>
                <w:sz w:val="27"/>
                <w:szCs w:val="27"/>
              </w:rPr>
              <w:t xml:space="preserve"> </w:t>
            </w:r>
          </w:p>
          <w:p w:rsidR="005B4F2E" w:rsidRDefault="00995FCA" w:rsidP="00700595">
            <w:pPr>
              <w:pStyle w:val="ListParagraph"/>
              <w:numPr>
                <w:ilvl w:val="0"/>
                <w:numId w:val="39"/>
              </w:numPr>
              <w:spacing w:before="100" w:beforeAutospacing="1" w:after="100" w:afterAutospacing="1"/>
              <w:rPr>
                <w:color w:val="000000"/>
                <w:sz w:val="27"/>
                <w:szCs w:val="27"/>
              </w:rPr>
            </w:pPr>
            <w:r w:rsidRPr="005B4F2E">
              <w:rPr>
                <w:color w:val="000000"/>
                <w:sz w:val="27"/>
                <w:szCs w:val="27"/>
              </w:rPr>
              <w:t xml:space="preserve">Ensure the meeting room is clearly identified and easy to locate.  </w:t>
            </w:r>
            <w:r w:rsidR="0010744A" w:rsidRPr="005B4F2E">
              <w:rPr>
                <w:color w:val="000000"/>
                <w:sz w:val="27"/>
                <w:szCs w:val="27"/>
              </w:rPr>
              <w:t>If the event location has a lobby or general reception area, inform the desk attendant so that attendees can be directed accordingly</w:t>
            </w:r>
            <w:r w:rsidR="008B6B54" w:rsidRPr="005B4F2E">
              <w:rPr>
                <w:color w:val="000000"/>
                <w:sz w:val="27"/>
                <w:szCs w:val="27"/>
              </w:rPr>
              <w:t>.</w:t>
            </w:r>
            <w:r w:rsidR="0010744A" w:rsidRPr="005B4F2E">
              <w:rPr>
                <w:color w:val="000000"/>
                <w:sz w:val="27"/>
                <w:szCs w:val="27"/>
              </w:rPr>
              <w:t xml:space="preserve"> </w:t>
            </w:r>
          </w:p>
          <w:p w:rsidR="0010744A" w:rsidRPr="005B4F2E" w:rsidRDefault="0010744A" w:rsidP="00700595">
            <w:pPr>
              <w:pStyle w:val="ListParagraph"/>
              <w:numPr>
                <w:ilvl w:val="0"/>
                <w:numId w:val="39"/>
              </w:numPr>
              <w:spacing w:before="100" w:beforeAutospacing="1" w:after="100" w:afterAutospacing="1"/>
              <w:rPr>
                <w:color w:val="000000"/>
                <w:sz w:val="27"/>
                <w:szCs w:val="27"/>
              </w:rPr>
            </w:pPr>
            <w:r w:rsidRPr="005B4F2E">
              <w:rPr>
                <w:color w:val="000000"/>
                <w:sz w:val="27"/>
                <w:szCs w:val="27"/>
              </w:rPr>
              <w:t xml:space="preserve">Use </w:t>
            </w:r>
            <w:r w:rsidR="00700595">
              <w:rPr>
                <w:color w:val="000000"/>
                <w:sz w:val="27"/>
                <w:szCs w:val="27"/>
              </w:rPr>
              <w:t xml:space="preserve">only </w:t>
            </w:r>
            <w:r w:rsidRPr="005B4F2E">
              <w:rPr>
                <w:color w:val="000000"/>
                <w:sz w:val="27"/>
                <w:szCs w:val="27"/>
              </w:rPr>
              <w:t>Centene</w:t>
            </w:r>
            <w:r w:rsidR="000E3369" w:rsidRPr="005B4F2E">
              <w:rPr>
                <w:color w:val="000000"/>
                <w:sz w:val="27"/>
                <w:szCs w:val="27"/>
              </w:rPr>
              <w:t>/CMS</w:t>
            </w:r>
            <w:r w:rsidRPr="005B4F2E">
              <w:rPr>
                <w:color w:val="000000"/>
                <w:sz w:val="27"/>
                <w:szCs w:val="27"/>
              </w:rPr>
              <w:t xml:space="preserve"> </w:t>
            </w:r>
            <w:r w:rsidR="00700595">
              <w:rPr>
                <w:color w:val="000000"/>
                <w:sz w:val="27"/>
                <w:szCs w:val="27"/>
              </w:rPr>
              <w:t>approved materials</w:t>
            </w:r>
            <w:r w:rsidR="00574ED9">
              <w:rPr>
                <w:color w:val="000000"/>
                <w:sz w:val="27"/>
                <w:szCs w:val="27"/>
              </w:rPr>
              <w:t>.</w:t>
            </w:r>
          </w:p>
          <w:p w:rsidR="0010744A" w:rsidRDefault="0010744A" w:rsidP="00181F4F">
            <w:pPr>
              <w:rPr>
                <w:color w:val="000000"/>
                <w:sz w:val="27"/>
                <w:szCs w:val="27"/>
              </w:rPr>
            </w:pPr>
            <w:r>
              <w:rPr>
                <w:color w:val="000000"/>
                <w:sz w:val="27"/>
                <w:szCs w:val="27"/>
              </w:rPr>
              <w:t>Centene</w:t>
            </w:r>
            <w:r w:rsidRPr="00B96568">
              <w:rPr>
                <w:color w:val="000000"/>
                <w:sz w:val="27"/>
                <w:szCs w:val="27"/>
              </w:rPr>
              <w:t xml:space="preserve"> allows </w:t>
            </w:r>
            <w:r>
              <w:rPr>
                <w:color w:val="000000"/>
                <w:sz w:val="27"/>
                <w:szCs w:val="27"/>
              </w:rPr>
              <w:t xml:space="preserve">the </w:t>
            </w:r>
            <w:r w:rsidR="00FD2D7E">
              <w:rPr>
                <w:color w:val="000000"/>
                <w:sz w:val="27"/>
                <w:szCs w:val="27"/>
              </w:rPr>
              <w:t>use of Permission to Contact</w:t>
            </w:r>
            <w:r w:rsidRPr="00B96568">
              <w:rPr>
                <w:color w:val="000000"/>
                <w:sz w:val="27"/>
                <w:szCs w:val="27"/>
              </w:rPr>
              <w:t xml:space="preserve"> cards </w:t>
            </w:r>
            <w:r>
              <w:rPr>
                <w:color w:val="000000"/>
                <w:sz w:val="27"/>
                <w:szCs w:val="27"/>
              </w:rPr>
              <w:t xml:space="preserve">and/or optional sign in sheets </w:t>
            </w:r>
            <w:r w:rsidRPr="00B96568">
              <w:rPr>
                <w:color w:val="000000"/>
                <w:sz w:val="27"/>
                <w:szCs w:val="27"/>
              </w:rPr>
              <w:t>at sales events as a mechanism for a beneficiary to voluntarily provide contact information</w:t>
            </w:r>
            <w:r w:rsidR="00CE19F6">
              <w:rPr>
                <w:color w:val="000000"/>
                <w:sz w:val="27"/>
                <w:szCs w:val="27"/>
              </w:rPr>
              <w:t>.  This allows the Agent to</w:t>
            </w:r>
            <w:r w:rsidRPr="00B96568">
              <w:rPr>
                <w:color w:val="000000"/>
                <w:sz w:val="27"/>
                <w:szCs w:val="27"/>
              </w:rPr>
              <w:t xml:space="preserve"> follow-up with the beneficiary after the sales event. Agent</w:t>
            </w:r>
            <w:r>
              <w:rPr>
                <w:color w:val="000000"/>
                <w:sz w:val="27"/>
                <w:szCs w:val="27"/>
              </w:rPr>
              <w:t>s</w:t>
            </w:r>
            <w:r w:rsidRPr="00B96568">
              <w:rPr>
                <w:color w:val="000000"/>
                <w:sz w:val="27"/>
                <w:szCs w:val="27"/>
              </w:rPr>
              <w:t xml:space="preserve"> must clearly inform beneficiaries that providing contact information is optional. Agents must not pressure or coerce a beneficiary to provide contact information.</w:t>
            </w:r>
          </w:p>
          <w:p w:rsidR="0010744A" w:rsidRPr="00B96568" w:rsidRDefault="0010744A" w:rsidP="00181F4F">
            <w:pPr>
              <w:rPr>
                <w:color w:val="000000"/>
              </w:rPr>
            </w:pPr>
          </w:p>
          <w:p w:rsidR="00A20224" w:rsidRDefault="00A20224" w:rsidP="005B4F2E">
            <w:pPr>
              <w:rPr>
                <w:b/>
                <w:bCs/>
                <w:color w:val="4181C0"/>
                <w:sz w:val="36"/>
                <w:szCs w:val="36"/>
              </w:rPr>
            </w:pPr>
            <w:r>
              <w:rPr>
                <w:b/>
                <w:bCs/>
                <w:color w:val="4181C0"/>
                <w:sz w:val="36"/>
                <w:szCs w:val="36"/>
              </w:rPr>
              <w:t>Educational Events</w:t>
            </w:r>
          </w:p>
          <w:p w:rsidR="00A20224" w:rsidRDefault="00310B09" w:rsidP="005B4F2E">
            <w:pPr>
              <w:rPr>
                <w:color w:val="000000"/>
                <w:sz w:val="27"/>
                <w:szCs w:val="27"/>
              </w:rPr>
            </w:pPr>
            <w:r>
              <w:rPr>
                <w:color w:val="000000"/>
                <w:sz w:val="27"/>
                <w:szCs w:val="27"/>
              </w:rPr>
              <w:t>Agents are permitted to host</w:t>
            </w:r>
            <w:r w:rsidR="00044A3E" w:rsidRPr="00044A3E">
              <w:rPr>
                <w:color w:val="000000"/>
                <w:sz w:val="27"/>
                <w:szCs w:val="27"/>
              </w:rPr>
              <w:t xml:space="preserve"> educational events provide the following criteria are met</w:t>
            </w:r>
            <w:r w:rsidR="00044A3E">
              <w:rPr>
                <w:color w:val="000000"/>
                <w:sz w:val="27"/>
                <w:szCs w:val="27"/>
              </w:rPr>
              <w:t>:</w:t>
            </w:r>
          </w:p>
          <w:p w:rsidR="00310B09" w:rsidRPr="00310B09" w:rsidRDefault="00310B09" w:rsidP="00310B09">
            <w:pPr>
              <w:pStyle w:val="ListParagraph"/>
              <w:numPr>
                <w:ilvl w:val="0"/>
                <w:numId w:val="39"/>
              </w:numPr>
              <w:rPr>
                <w:color w:val="000000"/>
                <w:sz w:val="27"/>
                <w:szCs w:val="27"/>
              </w:rPr>
            </w:pPr>
            <w:r>
              <w:rPr>
                <w:color w:val="000000"/>
                <w:sz w:val="27"/>
                <w:szCs w:val="27"/>
              </w:rPr>
              <w:t>Centene’s</w:t>
            </w:r>
            <w:r w:rsidRPr="005B4F2E">
              <w:rPr>
                <w:color w:val="000000"/>
                <w:sz w:val="27"/>
                <w:szCs w:val="27"/>
              </w:rPr>
              <w:t xml:space="preserve"> Non-Discrimination Notice </w:t>
            </w:r>
            <w:r>
              <w:rPr>
                <w:color w:val="000000"/>
                <w:sz w:val="27"/>
                <w:szCs w:val="27"/>
              </w:rPr>
              <w:t xml:space="preserve">must be posted </w:t>
            </w:r>
            <w:r w:rsidRPr="005B4F2E">
              <w:rPr>
                <w:color w:val="000000"/>
                <w:sz w:val="27"/>
                <w:szCs w:val="27"/>
              </w:rPr>
              <w:t>in a prominent location</w:t>
            </w:r>
            <w:r>
              <w:rPr>
                <w:color w:val="000000"/>
                <w:sz w:val="27"/>
                <w:szCs w:val="27"/>
              </w:rPr>
              <w:t>.</w:t>
            </w:r>
          </w:p>
          <w:p w:rsidR="00044A3E" w:rsidRDefault="00044A3E" w:rsidP="00700595">
            <w:pPr>
              <w:pStyle w:val="ListParagraph"/>
              <w:numPr>
                <w:ilvl w:val="0"/>
                <w:numId w:val="39"/>
              </w:numPr>
              <w:rPr>
                <w:color w:val="000000"/>
                <w:sz w:val="27"/>
                <w:szCs w:val="27"/>
              </w:rPr>
            </w:pPr>
            <w:r w:rsidRPr="00044A3E">
              <w:rPr>
                <w:color w:val="000000"/>
                <w:sz w:val="27"/>
                <w:szCs w:val="27"/>
              </w:rPr>
              <w:t>Must be explicitly advertised as educational</w:t>
            </w:r>
            <w:r w:rsidR="00310B09">
              <w:rPr>
                <w:color w:val="000000"/>
                <w:sz w:val="27"/>
                <w:szCs w:val="27"/>
              </w:rPr>
              <w:t>.</w:t>
            </w:r>
          </w:p>
          <w:p w:rsidR="00044A3E" w:rsidRDefault="00044A3E" w:rsidP="00700595">
            <w:pPr>
              <w:pStyle w:val="ListParagraph"/>
              <w:numPr>
                <w:ilvl w:val="0"/>
                <w:numId w:val="39"/>
              </w:numPr>
              <w:rPr>
                <w:color w:val="000000"/>
                <w:sz w:val="27"/>
                <w:szCs w:val="27"/>
              </w:rPr>
            </w:pPr>
            <w:r>
              <w:rPr>
                <w:color w:val="000000"/>
                <w:sz w:val="27"/>
                <w:szCs w:val="27"/>
              </w:rPr>
              <w:lastRenderedPageBreak/>
              <w:t>Must not include marketing or sales activities or distribution of marketing materials or enrollment forms</w:t>
            </w:r>
            <w:r w:rsidR="00310B09">
              <w:rPr>
                <w:color w:val="000000"/>
                <w:sz w:val="27"/>
                <w:szCs w:val="27"/>
              </w:rPr>
              <w:t>.</w:t>
            </w:r>
          </w:p>
          <w:p w:rsidR="00044A3E" w:rsidRDefault="00044A3E" w:rsidP="00700595">
            <w:pPr>
              <w:pStyle w:val="ListParagraph"/>
              <w:numPr>
                <w:ilvl w:val="0"/>
                <w:numId w:val="39"/>
              </w:numPr>
              <w:rPr>
                <w:color w:val="000000"/>
                <w:sz w:val="27"/>
                <w:szCs w:val="27"/>
              </w:rPr>
            </w:pPr>
            <w:r>
              <w:rPr>
                <w:color w:val="000000"/>
                <w:sz w:val="27"/>
                <w:szCs w:val="27"/>
              </w:rPr>
              <w:t>Agents may not conduct a marketing or sales event immediately following an educational event at the same location</w:t>
            </w:r>
            <w:r w:rsidR="00310B09">
              <w:rPr>
                <w:color w:val="000000"/>
                <w:sz w:val="27"/>
                <w:szCs w:val="27"/>
              </w:rPr>
              <w:t>.</w:t>
            </w:r>
          </w:p>
          <w:p w:rsidR="00044A3E" w:rsidRDefault="00044A3E" w:rsidP="00044A3E">
            <w:pPr>
              <w:rPr>
                <w:color w:val="000000"/>
                <w:sz w:val="27"/>
                <w:szCs w:val="27"/>
              </w:rPr>
            </w:pPr>
          </w:p>
          <w:p w:rsidR="00044A3E" w:rsidRDefault="00044A3E" w:rsidP="00044A3E">
            <w:pPr>
              <w:rPr>
                <w:color w:val="000000"/>
                <w:sz w:val="27"/>
                <w:szCs w:val="27"/>
              </w:rPr>
            </w:pPr>
            <w:r>
              <w:rPr>
                <w:color w:val="000000"/>
                <w:sz w:val="27"/>
                <w:szCs w:val="27"/>
              </w:rPr>
              <w:t>The following are acceptable practices at educational events</w:t>
            </w:r>
          </w:p>
          <w:p w:rsidR="00044A3E" w:rsidRDefault="00044A3E" w:rsidP="00700595">
            <w:pPr>
              <w:pStyle w:val="ListParagraph"/>
              <w:numPr>
                <w:ilvl w:val="0"/>
                <w:numId w:val="39"/>
              </w:numPr>
              <w:rPr>
                <w:color w:val="000000"/>
                <w:sz w:val="27"/>
                <w:szCs w:val="27"/>
              </w:rPr>
            </w:pPr>
            <w:r>
              <w:rPr>
                <w:color w:val="000000"/>
                <w:sz w:val="27"/>
                <w:szCs w:val="27"/>
              </w:rPr>
              <w:t>Distributing communication (non marketing) materials</w:t>
            </w:r>
            <w:r w:rsidR="00310B09">
              <w:rPr>
                <w:color w:val="000000"/>
                <w:sz w:val="27"/>
                <w:szCs w:val="27"/>
              </w:rPr>
              <w:t>.</w:t>
            </w:r>
          </w:p>
          <w:p w:rsidR="00044A3E" w:rsidRDefault="00044A3E" w:rsidP="00700595">
            <w:pPr>
              <w:pStyle w:val="ListParagraph"/>
              <w:numPr>
                <w:ilvl w:val="0"/>
                <w:numId w:val="39"/>
              </w:numPr>
              <w:rPr>
                <w:color w:val="000000"/>
                <w:sz w:val="27"/>
                <w:szCs w:val="27"/>
              </w:rPr>
            </w:pPr>
            <w:r>
              <w:rPr>
                <w:color w:val="000000"/>
                <w:sz w:val="27"/>
                <w:szCs w:val="27"/>
              </w:rPr>
              <w:t>Answering beneficiary initiated questions</w:t>
            </w:r>
            <w:r w:rsidR="00310B09">
              <w:rPr>
                <w:color w:val="000000"/>
                <w:sz w:val="27"/>
                <w:szCs w:val="27"/>
              </w:rPr>
              <w:t>.</w:t>
            </w:r>
          </w:p>
          <w:p w:rsidR="00044A3E" w:rsidRDefault="00044A3E" w:rsidP="00700595">
            <w:pPr>
              <w:pStyle w:val="ListParagraph"/>
              <w:numPr>
                <w:ilvl w:val="0"/>
                <w:numId w:val="39"/>
              </w:numPr>
              <w:rPr>
                <w:color w:val="000000"/>
                <w:sz w:val="27"/>
                <w:szCs w:val="27"/>
              </w:rPr>
            </w:pPr>
            <w:r>
              <w:rPr>
                <w:color w:val="000000"/>
                <w:sz w:val="27"/>
                <w:szCs w:val="27"/>
              </w:rPr>
              <w:t>Setting up future marketing appointments</w:t>
            </w:r>
            <w:r w:rsidR="00310B09">
              <w:rPr>
                <w:color w:val="000000"/>
                <w:sz w:val="27"/>
                <w:szCs w:val="27"/>
              </w:rPr>
              <w:t>.</w:t>
            </w:r>
          </w:p>
          <w:p w:rsidR="00044A3E" w:rsidRDefault="00044A3E" w:rsidP="00700595">
            <w:pPr>
              <w:pStyle w:val="ListParagraph"/>
              <w:numPr>
                <w:ilvl w:val="0"/>
                <w:numId w:val="39"/>
              </w:numPr>
              <w:rPr>
                <w:color w:val="000000"/>
                <w:sz w:val="27"/>
                <w:szCs w:val="27"/>
              </w:rPr>
            </w:pPr>
            <w:r>
              <w:rPr>
                <w:color w:val="000000"/>
                <w:sz w:val="27"/>
                <w:szCs w:val="27"/>
              </w:rPr>
              <w:t>Distribute business cards</w:t>
            </w:r>
            <w:r w:rsidR="00310B09">
              <w:rPr>
                <w:color w:val="000000"/>
                <w:sz w:val="27"/>
                <w:szCs w:val="27"/>
              </w:rPr>
              <w:t>.</w:t>
            </w:r>
          </w:p>
          <w:p w:rsidR="00044A3E" w:rsidRDefault="00044A3E" w:rsidP="00700595">
            <w:pPr>
              <w:pStyle w:val="ListParagraph"/>
              <w:numPr>
                <w:ilvl w:val="0"/>
                <w:numId w:val="39"/>
              </w:numPr>
              <w:rPr>
                <w:color w:val="000000"/>
                <w:sz w:val="27"/>
                <w:szCs w:val="27"/>
              </w:rPr>
            </w:pPr>
            <w:r>
              <w:rPr>
                <w:color w:val="000000"/>
                <w:sz w:val="27"/>
                <w:szCs w:val="27"/>
              </w:rPr>
              <w:t>Distributing and accepting Scope of Appointment forms and permission to call cards</w:t>
            </w:r>
          </w:p>
          <w:p w:rsidR="00044A3E" w:rsidRPr="00044A3E" w:rsidRDefault="00044A3E" w:rsidP="00700595">
            <w:pPr>
              <w:pStyle w:val="ListParagraph"/>
              <w:numPr>
                <w:ilvl w:val="0"/>
                <w:numId w:val="39"/>
              </w:numPr>
              <w:rPr>
                <w:color w:val="000000"/>
                <w:sz w:val="27"/>
                <w:szCs w:val="27"/>
              </w:rPr>
            </w:pPr>
            <w:proofErr w:type="gramStart"/>
            <w:r>
              <w:rPr>
                <w:color w:val="000000"/>
                <w:sz w:val="27"/>
                <w:szCs w:val="27"/>
              </w:rPr>
              <w:t>Provision of meals are</w:t>
            </w:r>
            <w:proofErr w:type="gramEnd"/>
            <w:r>
              <w:rPr>
                <w:color w:val="000000"/>
                <w:sz w:val="27"/>
                <w:szCs w:val="27"/>
              </w:rPr>
              <w:t xml:space="preserve"> acceptable at educational events</w:t>
            </w:r>
            <w:r w:rsidR="00310B09">
              <w:rPr>
                <w:color w:val="000000"/>
                <w:sz w:val="27"/>
                <w:szCs w:val="27"/>
              </w:rPr>
              <w:t>.</w:t>
            </w:r>
          </w:p>
          <w:p w:rsidR="00A20224" w:rsidRDefault="00A20224" w:rsidP="005B4F2E">
            <w:pPr>
              <w:rPr>
                <w:b/>
                <w:bCs/>
                <w:color w:val="4181C0"/>
                <w:sz w:val="36"/>
                <w:szCs w:val="36"/>
              </w:rPr>
            </w:pPr>
          </w:p>
          <w:p w:rsidR="00044A3E" w:rsidRDefault="00044A3E" w:rsidP="005B4F2E">
            <w:pPr>
              <w:rPr>
                <w:b/>
                <w:bCs/>
                <w:color w:val="4181C0"/>
                <w:sz w:val="36"/>
                <w:szCs w:val="36"/>
              </w:rPr>
            </w:pPr>
            <w:r>
              <w:rPr>
                <w:b/>
                <w:bCs/>
                <w:color w:val="4181C0"/>
                <w:sz w:val="36"/>
                <w:szCs w:val="36"/>
              </w:rPr>
              <w:t>Marketing/Sales Events</w:t>
            </w:r>
          </w:p>
          <w:p w:rsidR="00044A3E" w:rsidRPr="00700595" w:rsidRDefault="00044A3E" w:rsidP="005B4F2E">
            <w:pPr>
              <w:rPr>
                <w:color w:val="000000"/>
                <w:sz w:val="27"/>
                <w:szCs w:val="27"/>
              </w:rPr>
            </w:pPr>
            <w:r w:rsidRPr="00700595">
              <w:rPr>
                <w:color w:val="000000"/>
                <w:sz w:val="27"/>
                <w:szCs w:val="27"/>
              </w:rPr>
              <w:t>Marketing/Sales Events are designed to steer or attempt to steer potential enrollees, or the retention of current enrollees, toward a plan or limited set of plans. The following apply to all marketing/sales events:</w:t>
            </w:r>
          </w:p>
          <w:p w:rsidR="00EC3B01" w:rsidRPr="005B4F2E" w:rsidRDefault="00EC3B01" w:rsidP="00EC3B01">
            <w:pPr>
              <w:pStyle w:val="ListParagraph"/>
              <w:numPr>
                <w:ilvl w:val="0"/>
                <w:numId w:val="39"/>
              </w:numPr>
              <w:spacing w:before="100" w:beforeAutospacing="1" w:after="100" w:afterAutospacing="1"/>
              <w:rPr>
                <w:color w:val="000000"/>
              </w:rPr>
            </w:pPr>
            <w:r>
              <w:rPr>
                <w:color w:val="000000"/>
                <w:sz w:val="27"/>
                <w:szCs w:val="27"/>
              </w:rPr>
              <w:t>Centene’s</w:t>
            </w:r>
            <w:r w:rsidRPr="005B4F2E">
              <w:rPr>
                <w:color w:val="000000"/>
                <w:sz w:val="27"/>
                <w:szCs w:val="27"/>
              </w:rPr>
              <w:t xml:space="preserve"> Non-Discrimination Notice </w:t>
            </w:r>
            <w:r>
              <w:rPr>
                <w:color w:val="000000"/>
                <w:sz w:val="27"/>
                <w:szCs w:val="27"/>
              </w:rPr>
              <w:t xml:space="preserve">must be posted </w:t>
            </w:r>
            <w:r w:rsidRPr="005B4F2E">
              <w:rPr>
                <w:color w:val="000000"/>
                <w:sz w:val="27"/>
                <w:szCs w:val="27"/>
              </w:rPr>
              <w:t>in a prominent location</w:t>
            </w:r>
            <w:r>
              <w:rPr>
                <w:color w:val="000000"/>
                <w:sz w:val="27"/>
                <w:szCs w:val="27"/>
              </w:rPr>
              <w:t>.</w:t>
            </w:r>
          </w:p>
          <w:p w:rsidR="00EC3B01" w:rsidRDefault="00EC3B01" w:rsidP="00EC3B01">
            <w:pPr>
              <w:pStyle w:val="ListParagraph"/>
              <w:numPr>
                <w:ilvl w:val="0"/>
                <w:numId w:val="39"/>
              </w:numPr>
              <w:spacing w:before="100" w:beforeAutospacing="1" w:after="100" w:afterAutospacing="1"/>
              <w:rPr>
                <w:color w:val="000000"/>
                <w:sz w:val="27"/>
                <w:szCs w:val="27"/>
              </w:rPr>
            </w:pPr>
            <w:r w:rsidRPr="00700595">
              <w:rPr>
                <w:color w:val="000000"/>
                <w:sz w:val="27"/>
                <w:szCs w:val="27"/>
              </w:rPr>
              <w:t>Sign in sheets must be clearly labeled as optional</w:t>
            </w:r>
            <w:r w:rsidR="00574ED9">
              <w:rPr>
                <w:color w:val="000000"/>
                <w:sz w:val="27"/>
                <w:szCs w:val="27"/>
              </w:rPr>
              <w:t>.</w:t>
            </w:r>
          </w:p>
          <w:p w:rsidR="00EC3B01" w:rsidRPr="00EC3B01" w:rsidRDefault="00EC3B01" w:rsidP="00EC3B01">
            <w:pPr>
              <w:pStyle w:val="ListParagraph"/>
              <w:numPr>
                <w:ilvl w:val="0"/>
                <w:numId w:val="39"/>
              </w:numPr>
              <w:spacing w:before="100" w:beforeAutospacing="1" w:after="100" w:afterAutospacing="1"/>
              <w:rPr>
                <w:color w:val="000000"/>
                <w:sz w:val="27"/>
                <w:szCs w:val="27"/>
              </w:rPr>
            </w:pPr>
            <w:r>
              <w:rPr>
                <w:color w:val="000000"/>
                <w:sz w:val="27"/>
                <w:szCs w:val="27"/>
              </w:rPr>
              <w:t>Agents may not require attendees to provide contact information as a prerequisite for attending an event</w:t>
            </w:r>
            <w:r w:rsidR="00574ED9">
              <w:rPr>
                <w:color w:val="000000"/>
                <w:sz w:val="27"/>
                <w:szCs w:val="27"/>
              </w:rPr>
              <w:t>.</w:t>
            </w:r>
          </w:p>
          <w:p w:rsidR="00EC3B01" w:rsidRPr="00EC3B01" w:rsidRDefault="00EC3B01" w:rsidP="00EC3B01">
            <w:pPr>
              <w:pStyle w:val="ListParagraph"/>
              <w:numPr>
                <w:ilvl w:val="0"/>
                <w:numId w:val="39"/>
              </w:numPr>
              <w:spacing w:before="100" w:beforeAutospacing="1" w:after="100" w:afterAutospacing="1"/>
              <w:rPr>
                <w:color w:val="000000"/>
                <w:sz w:val="27"/>
                <w:szCs w:val="27"/>
              </w:rPr>
            </w:pPr>
            <w:r>
              <w:rPr>
                <w:color w:val="000000"/>
                <w:sz w:val="27"/>
                <w:szCs w:val="27"/>
              </w:rPr>
              <w:t>Agents should announce their name, the company they</w:t>
            </w:r>
            <w:r w:rsidRPr="005B4F2E">
              <w:rPr>
                <w:color w:val="000000"/>
                <w:sz w:val="27"/>
                <w:szCs w:val="27"/>
              </w:rPr>
              <w:t xml:space="preserve"> represent and all p</w:t>
            </w:r>
            <w:r>
              <w:rPr>
                <w:color w:val="000000"/>
                <w:sz w:val="27"/>
                <w:szCs w:val="27"/>
              </w:rPr>
              <w:t>lans to be discussed during the</w:t>
            </w:r>
            <w:r w:rsidRPr="005B4F2E">
              <w:rPr>
                <w:color w:val="000000"/>
                <w:sz w:val="27"/>
                <w:szCs w:val="27"/>
              </w:rPr>
              <w:t xml:space="preserve"> presentation</w:t>
            </w:r>
            <w:r>
              <w:rPr>
                <w:color w:val="000000"/>
                <w:sz w:val="27"/>
                <w:szCs w:val="27"/>
              </w:rPr>
              <w:t>’s introduction</w:t>
            </w:r>
            <w:r w:rsidRPr="005B4F2E">
              <w:rPr>
                <w:color w:val="000000"/>
                <w:sz w:val="27"/>
                <w:szCs w:val="27"/>
              </w:rPr>
              <w:t xml:space="preserve">. </w:t>
            </w:r>
          </w:p>
          <w:p w:rsidR="00700595" w:rsidRDefault="00700595" w:rsidP="00700595">
            <w:pPr>
              <w:pStyle w:val="ListParagraph"/>
              <w:numPr>
                <w:ilvl w:val="0"/>
                <w:numId w:val="39"/>
              </w:numPr>
              <w:spacing w:before="100" w:beforeAutospacing="1" w:after="100" w:afterAutospacing="1"/>
              <w:rPr>
                <w:color w:val="000000"/>
                <w:sz w:val="27"/>
                <w:szCs w:val="27"/>
              </w:rPr>
            </w:pPr>
            <w:r w:rsidRPr="00700595">
              <w:rPr>
                <w:color w:val="000000"/>
                <w:sz w:val="27"/>
                <w:szCs w:val="27"/>
              </w:rPr>
              <w:t xml:space="preserve">Agents may only use Centene/CMS approved sales </w:t>
            </w:r>
            <w:proofErr w:type="gramStart"/>
            <w:r w:rsidRPr="00700595">
              <w:rPr>
                <w:color w:val="000000"/>
                <w:sz w:val="27"/>
                <w:szCs w:val="27"/>
              </w:rPr>
              <w:t xml:space="preserve">presentations </w:t>
            </w:r>
            <w:r w:rsidR="00574ED9">
              <w:rPr>
                <w:color w:val="000000"/>
                <w:sz w:val="27"/>
                <w:szCs w:val="27"/>
              </w:rPr>
              <w:t>.</w:t>
            </w:r>
            <w:proofErr w:type="gramEnd"/>
          </w:p>
          <w:p w:rsidR="00700595" w:rsidRPr="00700595" w:rsidRDefault="00700595" w:rsidP="00700595">
            <w:pPr>
              <w:pStyle w:val="ListParagraph"/>
              <w:numPr>
                <w:ilvl w:val="0"/>
                <w:numId w:val="39"/>
              </w:numPr>
              <w:spacing w:before="100" w:beforeAutospacing="1" w:after="100" w:afterAutospacing="1"/>
              <w:rPr>
                <w:color w:val="000000"/>
              </w:rPr>
            </w:pPr>
            <w:r>
              <w:rPr>
                <w:color w:val="000000"/>
                <w:sz w:val="27"/>
                <w:szCs w:val="27"/>
              </w:rPr>
              <w:t>Agents may not provide m</w:t>
            </w:r>
            <w:r w:rsidRPr="005B4F2E">
              <w:rPr>
                <w:color w:val="000000"/>
                <w:sz w:val="27"/>
                <w:szCs w:val="27"/>
              </w:rPr>
              <w:t>eals</w:t>
            </w:r>
            <w:r>
              <w:rPr>
                <w:color w:val="000000"/>
                <w:sz w:val="27"/>
                <w:szCs w:val="27"/>
              </w:rPr>
              <w:t xml:space="preserve"> at sales/marketing events</w:t>
            </w:r>
            <w:r w:rsidRPr="005B4F2E">
              <w:rPr>
                <w:color w:val="000000"/>
                <w:sz w:val="27"/>
                <w:szCs w:val="27"/>
              </w:rPr>
              <w:t xml:space="preserve"> (refreshments or light snacks are acceptable).</w:t>
            </w:r>
          </w:p>
          <w:p w:rsidR="00700595" w:rsidRPr="00700595" w:rsidRDefault="00700595" w:rsidP="00700595">
            <w:pPr>
              <w:spacing w:before="100" w:beforeAutospacing="1" w:after="100" w:afterAutospacing="1"/>
              <w:rPr>
                <w:color w:val="000000"/>
                <w:sz w:val="27"/>
                <w:szCs w:val="27"/>
              </w:rPr>
            </w:pPr>
            <w:r w:rsidRPr="00700595">
              <w:rPr>
                <w:color w:val="000000"/>
                <w:sz w:val="27"/>
                <w:szCs w:val="27"/>
              </w:rPr>
              <w:t xml:space="preserve">Centene has developed a Sales </w:t>
            </w:r>
            <w:r>
              <w:rPr>
                <w:color w:val="000000"/>
                <w:sz w:val="27"/>
                <w:szCs w:val="27"/>
              </w:rPr>
              <w:t>Event C</w:t>
            </w:r>
            <w:r w:rsidRPr="00700595">
              <w:rPr>
                <w:color w:val="000000"/>
                <w:sz w:val="27"/>
                <w:szCs w:val="27"/>
              </w:rPr>
              <w:t xml:space="preserve">hecklist to assist agents in conducting compliant and effective sales presentations.   The checklist </w:t>
            </w:r>
            <w:r w:rsidR="00EC3B01">
              <w:rPr>
                <w:color w:val="000000"/>
                <w:sz w:val="27"/>
                <w:szCs w:val="27"/>
              </w:rPr>
              <w:t>is available on the health p</w:t>
            </w:r>
            <w:r w:rsidRPr="00700595">
              <w:rPr>
                <w:color w:val="000000"/>
                <w:sz w:val="27"/>
                <w:szCs w:val="27"/>
              </w:rPr>
              <w:t xml:space="preserve">lan website within the </w:t>
            </w:r>
            <w:r w:rsidRPr="00EC3B01">
              <w:rPr>
                <w:i/>
                <w:color w:val="000000"/>
                <w:sz w:val="27"/>
                <w:szCs w:val="27"/>
              </w:rPr>
              <w:t>For Brokers</w:t>
            </w:r>
            <w:r w:rsidRPr="00700595">
              <w:rPr>
                <w:color w:val="000000"/>
                <w:sz w:val="27"/>
                <w:szCs w:val="27"/>
              </w:rPr>
              <w:t xml:space="preserve"> section.</w:t>
            </w:r>
          </w:p>
          <w:p w:rsidR="00700595" w:rsidRPr="00700595" w:rsidRDefault="00700595" w:rsidP="00700595">
            <w:pPr>
              <w:spacing w:before="100" w:beforeAutospacing="1" w:after="100" w:afterAutospacing="1"/>
              <w:rPr>
                <w:color w:val="000000"/>
                <w:sz w:val="27"/>
                <w:szCs w:val="27"/>
              </w:rPr>
            </w:pPr>
          </w:p>
          <w:p w:rsidR="00044A3E" w:rsidRPr="00700595" w:rsidRDefault="00044A3E" w:rsidP="00044A3E">
            <w:pPr>
              <w:rPr>
                <w:b/>
                <w:bCs/>
                <w:sz w:val="36"/>
                <w:szCs w:val="36"/>
              </w:rPr>
            </w:pPr>
          </w:p>
          <w:p w:rsidR="00700595" w:rsidRPr="00044A3E" w:rsidRDefault="00700595" w:rsidP="00044A3E">
            <w:pPr>
              <w:rPr>
                <w:b/>
                <w:bCs/>
                <w:sz w:val="36"/>
                <w:szCs w:val="36"/>
              </w:rPr>
            </w:pPr>
          </w:p>
          <w:p w:rsidR="00995FCA" w:rsidRPr="005B4F2E" w:rsidRDefault="005B4F2E" w:rsidP="005B4F2E">
            <w:pPr>
              <w:rPr>
                <w:b/>
                <w:bCs/>
                <w:color w:val="4181C0"/>
                <w:sz w:val="36"/>
                <w:szCs w:val="36"/>
              </w:rPr>
            </w:pPr>
            <w:r>
              <w:rPr>
                <w:b/>
                <w:bCs/>
                <w:color w:val="4181C0"/>
                <w:sz w:val="36"/>
                <w:szCs w:val="36"/>
              </w:rPr>
              <w:t>Non-Discrimination Requirements</w:t>
            </w:r>
          </w:p>
          <w:p w:rsidR="0010744A" w:rsidRDefault="0010744A" w:rsidP="00700595">
            <w:pPr>
              <w:pStyle w:val="BodyText"/>
              <w:widowControl w:val="0"/>
              <w:numPr>
                <w:ilvl w:val="0"/>
                <w:numId w:val="39"/>
              </w:numPr>
              <w:tabs>
                <w:tab w:val="left" w:pos="0"/>
              </w:tabs>
              <w:spacing w:after="0"/>
              <w:ind w:right="418"/>
              <w:rPr>
                <w:color w:val="000000"/>
                <w:sz w:val="27"/>
                <w:szCs w:val="27"/>
              </w:rPr>
            </w:pPr>
            <w:r>
              <w:rPr>
                <w:color w:val="000000"/>
                <w:sz w:val="27"/>
                <w:szCs w:val="27"/>
              </w:rPr>
              <w:t xml:space="preserve">Centene prohibits discrimination </w:t>
            </w:r>
            <w:r w:rsidRPr="004B2FAF">
              <w:rPr>
                <w:color w:val="000000"/>
                <w:sz w:val="27"/>
                <w:szCs w:val="27"/>
              </w:rPr>
              <w:t>by reason of race, creed, color, sex, age,</w:t>
            </w:r>
            <w:r>
              <w:rPr>
                <w:color w:val="000000"/>
                <w:sz w:val="27"/>
                <w:szCs w:val="27"/>
              </w:rPr>
              <w:t xml:space="preserve"> disability, </w:t>
            </w:r>
            <w:r w:rsidRPr="004B2FAF">
              <w:rPr>
                <w:color w:val="000000"/>
                <w:sz w:val="27"/>
                <w:szCs w:val="27"/>
              </w:rPr>
              <w:t>national origin or any other basis prohibited by law.</w:t>
            </w:r>
          </w:p>
          <w:p w:rsidR="0010744A" w:rsidRDefault="0010744A" w:rsidP="00700595">
            <w:pPr>
              <w:pStyle w:val="BodyText"/>
              <w:widowControl w:val="0"/>
              <w:numPr>
                <w:ilvl w:val="0"/>
                <w:numId w:val="39"/>
              </w:numPr>
              <w:tabs>
                <w:tab w:val="left" w:pos="0"/>
              </w:tabs>
              <w:spacing w:after="0"/>
              <w:ind w:right="418"/>
              <w:rPr>
                <w:color w:val="000000"/>
                <w:sz w:val="27"/>
                <w:szCs w:val="27"/>
              </w:rPr>
            </w:pPr>
            <w:r>
              <w:rPr>
                <w:color w:val="000000"/>
                <w:sz w:val="27"/>
                <w:szCs w:val="27"/>
              </w:rPr>
              <w:t>Centene’s Non-Discrimination Notice and foreign language taglines</w:t>
            </w:r>
            <w:r w:rsidR="00EE5951">
              <w:rPr>
                <w:color w:val="000000"/>
                <w:sz w:val="27"/>
                <w:szCs w:val="27"/>
              </w:rPr>
              <w:t xml:space="preserve"> must be posted</w:t>
            </w:r>
            <w:r>
              <w:rPr>
                <w:color w:val="000000"/>
                <w:sz w:val="27"/>
                <w:szCs w:val="27"/>
              </w:rPr>
              <w:t xml:space="preserve"> in a prominent location at all </w:t>
            </w:r>
            <w:r w:rsidR="005B4F2E">
              <w:rPr>
                <w:color w:val="000000"/>
                <w:sz w:val="27"/>
                <w:szCs w:val="27"/>
              </w:rPr>
              <w:t xml:space="preserve">sales and marketing </w:t>
            </w:r>
            <w:r>
              <w:rPr>
                <w:color w:val="000000"/>
                <w:sz w:val="27"/>
                <w:szCs w:val="27"/>
              </w:rPr>
              <w:t>events</w:t>
            </w:r>
            <w:r w:rsidR="008B6B54">
              <w:rPr>
                <w:color w:val="000000"/>
                <w:sz w:val="27"/>
                <w:szCs w:val="27"/>
              </w:rPr>
              <w:t>.</w:t>
            </w:r>
          </w:p>
          <w:p w:rsidR="0010744A" w:rsidRDefault="0010744A" w:rsidP="00700595">
            <w:pPr>
              <w:pStyle w:val="BodyText"/>
              <w:widowControl w:val="0"/>
              <w:numPr>
                <w:ilvl w:val="0"/>
                <w:numId w:val="39"/>
              </w:numPr>
              <w:tabs>
                <w:tab w:val="left" w:pos="0"/>
              </w:tabs>
              <w:spacing w:after="0"/>
              <w:ind w:right="418"/>
              <w:rPr>
                <w:color w:val="000000"/>
                <w:sz w:val="27"/>
                <w:szCs w:val="27"/>
              </w:rPr>
            </w:pPr>
            <w:r>
              <w:rPr>
                <w:color w:val="000000"/>
                <w:sz w:val="27"/>
                <w:szCs w:val="27"/>
              </w:rPr>
              <w:t>All event facilities must be accessible in accordance with the Americans with Disabilities Act (ADA)</w:t>
            </w:r>
            <w:r w:rsidR="008B6B54">
              <w:rPr>
                <w:color w:val="000000"/>
                <w:sz w:val="27"/>
                <w:szCs w:val="27"/>
              </w:rPr>
              <w:t>.</w:t>
            </w:r>
          </w:p>
          <w:p w:rsidR="000973A5" w:rsidRDefault="0010744A" w:rsidP="00700595">
            <w:pPr>
              <w:pStyle w:val="BodyText"/>
              <w:widowControl w:val="0"/>
              <w:numPr>
                <w:ilvl w:val="0"/>
                <w:numId w:val="39"/>
              </w:numPr>
              <w:tabs>
                <w:tab w:val="left" w:pos="0"/>
              </w:tabs>
              <w:spacing w:after="0"/>
              <w:ind w:right="418"/>
              <w:rPr>
                <w:color w:val="000000"/>
                <w:sz w:val="27"/>
                <w:szCs w:val="27"/>
              </w:rPr>
            </w:pPr>
            <w:r>
              <w:rPr>
                <w:color w:val="000000"/>
                <w:sz w:val="27"/>
                <w:szCs w:val="27"/>
              </w:rPr>
              <w:t>Attendees who do not speak or understand the language spoken at the event may be referred to contact the phone number on the taglines document for language assistance</w:t>
            </w:r>
            <w:r w:rsidR="008B6B54">
              <w:rPr>
                <w:color w:val="000000"/>
                <w:sz w:val="27"/>
                <w:szCs w:val="27"/>
              </w:rPr>
              <w:t>.</w:t>
            </w:r>
          </w:p>
          <w:p w:rsidR="000973A5" w:rsidRPr="000973A5" w:rsidRDefault="000973A5" w:rsidP="000973A5">
            <w:pPr>
              <w:pStyle w:val="BodyText"/>
              <w:widowControl w:val="0"/>
              <w:tabs>
                <w:tab w:val="left" w:pos="720"/>
              </w:tabs>
              <w:spacing w:after="0"/>
              <w:ind w:left="1080" w:right="418"/>
              <w:rPr>
                <w:color w:val="000000"/>
                <w:sz w:val="27"/>
                <w:szCs w:val="27"/>
              </w:rPr>
            </w:pPr>
          </w:p>
          <w:p w:rsidR="00E000F7" w:rsidRPr="00E000F7" w:rsidRDefault="0010744A" w:rsidP="005B4F2E">
            <w:pPr>
              <w:pStyle w:val="Default"/>
              <w:rPr>
                <w:rFonts w:ascii="Times New Roman" w:eastAsia="Times New Roman" w:hAnsi="Times New Roman" w:cs="Times New Roman"/>
                <w:sz w:val="27"/>
                <w:szCs w:val="27"/>
              </w:rPr>
            </w:pPr>
            <w:r w:rsidRPr="005B4F2E">
              <w:rPr>
                <w:rFonts w:ascii="Times New Roman" w:eastAsia="Times New Roman" w:hAnsi="Times New Roman" w:cs="Times New Roman"/>
                <w:b/>
                <w:bCs/>
                <w:color w:val="4181C0"/>
                <w:sz w:val="36"/>
                <w:szCs w:val="36"/>
              </w:rPr>
              <w:t>Gifts and Promotional Items</w:t>
            </w:r>
            <w:r w:rsidRPr="00B96568">
              <w:rPr>
                <w:sz w:val="27"/>
                <w:szCs w:val="27"/>
              </w:rPr>
              <w:br/>
            </w:r>
            <w:r w:rsidRPr="00E000F7">
              <w:rPr>
                <w:rFonts w:ascii="Times New Roman" w:eastAsia="Times New Roman" w:hAnsi="Times New Roman" w:cs="Times New Roman"/>
                <w:sz w:val="27"/>
                <w:szCs w:val="27"/>
              </w:rPr>
              <w:t>Gifts and promotional items may be offered during the course of sales and marketing activities provided that they do not exceed the allowed maximum of $15 per person</w:t>
            </w:r>
            <w:r w:rsidR="00EE5951">
              <w:rPr>
                <w:rFonts w:ascii="Times New Roman" w:eastAsia="Times New Roman" w:hAnsi="Times New Roman" w:cs="Times New Roman"/>
                <w:sz w:val="27"/>
                <w:szCs w:val="27"/>
              </w:rPr>
              <w:t xml:space="preserve"> or an aggregate of $75 per person per year</w:t>
            </w:r>
            <w:r w:rsidRPr="00E000F7">
              <w:rPr>
                <w:rFonts w:ascii="Times New Roman" w:eastAsia="Times New Roman" w:hAnsi="Times New Roman" w:cs="Times New Roman"/>
                <w:sz w:val="27"/>
                <w:szCs w:val="27"/>
              </w:rPr>
              <w:t xml:space="preserve">.  </w:t>
            </w:r>
          </w:p>
          <w:p w:rsidR="00E000F7" w:rsidRDefault="00E000F7" w:rsidP="000973A5">
            <w:pPr>
              <w:autoSpaceDE w:val="0"/>
              <w:autoSpaceDN w:val="0"/>
              <w:adjustRightInd w:val="0"/>
              <w:ind w:left="720"/>
              <w:rPr>
                <w:color w:val="000000"/>
                <w:sz w:val="27"/>
                <w:szCs w:val="27"/>
              </w:rPr>
            </w:pPr>
          </w:p>
          <w:p w:rsidR="00E000F7" w:rsidRPr="00E000F7" w:rsidRDefault="00E000F7" w:rsidP="005B4F2E">
            <w:pPr>
              <w:autoSpaceDE w:val="0"/>
              <w:autoSpaceDN w:val="0"/>
              <w:adjustRightInd w:val="0"/>
              <w:rPr>
                <w:color w:val="000000"/>
                <w:sz w:val="27"/>
                <w:szCs w:val="27"/>
              </w:rPr>
            </w:pPr>
            <w:r w:rsidRPr="00E000F7">
              <w:rPr>
                <w:color w:val="000000"/>
                <w:sz w:val="27"/>
                <w:szCs w:val="27"/>
              </w:rPr>
              <w:t xml:space="preserve">If a nominal gift is a chance to receive one large gift or a communal experience (e.g., a concert, raffle, drawing), the total fair market value must not exceed the nominal per person value based on anticipated attendance. </w:t>
            </w:r>
          </w:p>
          <w:p w:rsidR="0010744A" w:rsidRPr="00B96568" w:rsidRDefault="0010744A" w:rsidP="005B4F2E">
            <w:pPr>
              <w:spacing w:before="100" w:beforeAutospacing="1" w:after="100" w:afterAutospacing="1"/>
              <w:rPr>
                <w:color w:val="000000"/>
              </w:rPr>
            </w:pPr>
            <w:r w:rsidRPr="00B96568">
              <w:rPr>
                <w:color w:val="000000"/>
                <w:sz w:val="27"/>
                <w:szCs w:val="27"/>
              </w:rPr>
              <w:t xml:space="preserve">Gifts and promotional items must be offered to all </w:t>
            </w:r>
            <w:r w:rsidR="00E000F7">
              <w:rPr>
                <w:color w:val="000000"/>
                <w:sz w:val="27"/>
                <w:szCs w:val="27"/>
              </w:rPr>
              <w:t>potential enrollees</w:t>
            </w:r>
            <w:r w:rsidRPr="00B96568">
              <w:rPr>
                <w:color w:val="000000"/>
                <w:sz w:val="27"/>
                <w:szCs w:val="27"/>
              </w:rPr>
              <w:t xml:space="preserve">, regardless of enrollment and without discrimination. </w:t>
            </w:r>
          </w:p>
          <w:p w:rsidR="00FD2D7E" w:rsidRPr="005B4F2E" w:rsidRDefault="0010744A" w:rsidP="00574ED9">
            <w:pPr>
              <w:spacing w:before="100" w:beforeAutospacing="1" w:after="100" w:afterAutospacing="1"/>
              <w:rPr>
                <w:color w:val="000000"/>
              </w:rPr>
            </w:pPr>
            <w:r w:rsidRPr="00B96568">
              <w:rPr>
                <w:color w:val="000000"/>
                <w:sz w:val="27"/>
                <w:szCs w:val="27"/>
              </w:rPr>
              <w:t xml:space="preserve">Gifts and Promotional items may </w:t>
            </w:r>
            <w:r w:rsidRPr="00B96568">
              <w:rPr>
                <w:color w:val="000000"/>
                <w:sz w:val="27"/>
                <w:szCs w:val="27"/>
                <w:u w:val="single"/>
              </w:rPr>
              <w:t>not</w:t>
            </w:r>
            <w:r w:rsidRPr="00B96568">
              <w:rPr>
                <w:color w:val="000000"/>
                <w:sz w:val="27"/>
                <w:szCs w:val="27"/>
              </w:rPr>
              <w:t xml:space="preserve"> consist of</w:t>
            </w:r>
            <w:r w:rsidR="00574ED9">
              <w:rPr>
                <w:color w:val="000000"/>
                <w:sz w:val="27"/>
                <w:szCs w:val="27"/>
              </w:rPr>
              <w:t xml:space="preserve"> c</w:t>
            </w:r>
            <w:r w:rsidR="00FD2D7E" w:rsidRPr="005B4F2E">
              <w:rPr>
                <w:color w:val="000000"/>
                <w:sz w:val="27"/>
                <w:szCs w:val="27"/>
              </w:rPr>
              <w:t>ash or</w:t>
            </w:r>
            <w:r w:rsidRPr="005B4F2E">
              <w:rPr>
                <w:color w:val="000000"/>
                <w:sz w:val="27"/>
                <w:szCs w:val="27"/>
              </w:rPr>
              <w:t xml:space="preserve"> other monetary rebates</w:t>
            </w:r>
            <w:r w:rsidR="008B6B54" w:rsidRPr="005B4F2E">
              <w:rPr>
                <w:color w:val="000000"/>
                <w:sz w:val="27"/>
                <w:szCs w:val="27"/>
              </w:rPr>
              <w:t>.</w:t>
            </w:r>
          </w:p>
          <w:p w:rsidR="0010744A" w:rsidRDefault="0010744A" w:rsidP="00181F4F">
            <w:pPr>
              <w:spacing w:before="100" w:beforeAutospacing="1" w:after="100" w:afterAutospacing="1"/>
              <w:rPr>
                <w:color w:val="000000"/>
                <w:sz w:val="27"/>
                <w:szCs w:val="27"/>
              </w:rPr>
            </w:pPr>
            <w:r w:rsidRPr="00B96568">
              <w:rPr>
                <w:b/>
                <w:bCs/>
                <w:color w:val="4181C0"/>
                <w:sz w:val="36"/>
                <w:szCs w:val="36"/>
              </w:rPr>
              <w:t>Scope of Appointment (SOA</w:t>
            </w:r>
            <w:r w:rsidR="00217235" w:rsidRPr="00B96568">
              <w:rPr>
                <w:b/>
                <w:bCs/>
                <w:color w:val="4181C0"/>
                <w:sz w:val="36"/>
                <w:szCs w:val="36"/>
              </w:rPr>
              <w:t xml:space="preserve">) </w:t>
            </w:r>
            <w:r w:rsidRPr="00B96568">
              <w:rPr>
                <w:color w:val="000000"/>
                <w:sz w:val="27"/>
                <w:szCs w:val="27"/>
              </w:rPr>
              <w:br/>
              <w:t>CMS’</w:t>
            </w:r>
            <w:r>
              <w:rPr>
                <w:color w:val="000000"/>
                <w:sz w:val="27"/>
                <w:szCs w:val="27"/>
              </w:rPr>
              <w:t>s</w:t>
            </w:r>
            <w:r w:rsidR="00E000F7">
              <w:rPr>
                <w:color w:val="000000"/>
                <w:sz w:val="27"/>
                <w:szCs w:val="27"/>
              </w:rPr>
              <w:t xml:space="preserve"> MCMG</w:t>
            </w:r>
            <w:r w:rsidRPr="00B96568">
              <w:rPr>
                <w:color w:val="000000"/>
                <w:sz w:val="27"/>
                <w:szCs w:val="27"/>
              </w:rPr>
              <w:t xml:space="preserve"> require</w:t>
            </w:r>
            <w:r w:rsidR="00E000F7">
              <w:rPr>
                <w:color w:val="000000"/>
                <w:sz w:val="27"/>
                <w:szCs w:val="27"/>
              </w:rPr>
              <w:t>s</w:t>
            </w:r>
            <w:r w:rsidRPr="00B96568">
              <w:rPr>
                <w:color w:val="000000"/>
                <w:sz w:val="27"/>
                <w:szCs w:val="27"/>
              </w:rPr>
              <w:t xml:space="preserve"> that a documented Scope of Appointment (SOA) be c</w:t>
            </w:r>
            <w:r>
              <w:rPr>
                <w:color w:val="000000"/>
                <w:sz w:val="27"/>
                <w:szCs w:val="27"/>
              </w:rPr>
              <w:t xml:space="preserve">ompleted </w:t>
            </w:r>
            <w:r w:rsidRPr="00FD7A73">
              <w:rPr>
                <w:b/>
                <w:color w:val="000000"/>
                <w:sz w:val="27"/>
                <w:szCs w:val="27"/>
                <w:u w:val="single"/>
              </w:rPr>
              <w:t>prior</w:t>
            </w:r>
            <w:r>
              <w:rPr>
                <w:color w:val="000000"/>
                <w:sz w:val="27"/>
                <w:szCs w:val="27"/>
              </w:rPr>
              <w:t xml:space="preserve"> to any personal/</w:t>
            </w:r>
            <w:r w:rsidRPr="00B96568">
              <w:rPr>
                <w:color w:val="000000"/>
                <w:sz w:val="27"/>
                <w:szCs w:val="27"/>
              </w:rPr>
              <w:t>individual marketing appointment. SOAs are required for all marketing appointments regardless of whether or not the appointment results in an enrollment and</w:t>
            </w:r>
            <w:r w:rsidRPr="00FD7A73">
              <w:rPr>
                <w:bCs/>
                <w:color w:val="000000"/>
                <w:sz w:val="27"/>
                <w:szCs w:val="27"/>
              </w:rPr>
              <w:t xml:space="preserve"> regardless of venue</w:t>
            </w:r>
            <w:r w:rsidRPr="00FD7A73">
              <w:rPr>
                <w:color w:val="000000"/>
                <w:sz w:val="27"/>
                <w:szCs w:val="27"/>
              </w:rPr>
              <w:t xml:space="preserve"> </w:t>
            </w:r>
            <w:r w:rsidRPr="00B96568">
              <w:rPr>
                <w:color w:val="000000"/>
                <w:sz w:val="27"/>
                <w:szCs w:val="27"/>
              </w:rPr>
              <w:t>(e.g. in-home, telephonic, library, or walk-ins to an agent office).</w:t>
            </w:r>
            <w:r w:rsidR="00CC321A">
              <w:rPr>
                <w:color w:val="000000"/>
                <w:sz w:val="27"/>
                <w:szCs w:val="27"/>
              </w:rPr>
              <w:t xml:space="preserve">  A</w:t>
            </w:r>
            <w:r w:rsidR="00CC321A" w:rsidRPr="00B96568">
              <w:rPr>
                <w:color w:val="000000"/>
                <w:sz w:val="27"/>
                <w:szCs w:val="27"/>
              </w:rPr>
              <w:t>ll SOA forms must be retained for at least 10 years regardless of the enrollment outcome.</w:t>
            </w:r>
          </w:p>
          <w:p w:rsidR="00EE5951" w:rsidRPr="00B96568" w:rsidRDefault="00EE5951" w:rsidP="00181F4F">
            <w:pPr>
              <w:spacing w:before="100" w:beforeAutospacing="1" w:after="100" w:afterAutospacing="1"/>
              <w:rPr>
                <w:color w:val="000000"/>
              </w:rPr>
            </w:pPr>
            <w:r>
              <w:rPr>
                <w:color w:val="000000"/>
                <w:sz w:val="27"/>
                <w:szCs w:val="27"/>
              </w:rPr>
              <w:t xml:space="preserve">Scope of appointment forms are permitted to be accepted during educational and marketing </w:t>
            </w:r>
            <w:r>
              <w:rPr>
                <w:color w:val="000000"/>
                <w:sz w:val="27"/>
                <w:szCs w:val="27"/>
              </w:rPr>
              <w:lastRenderedPageBreak/>
              <w:t>events or any time prior to a personal sales appointment.</w:t>
            </w:r>
          </w:p>
          <w:p w:rsidR="00E000F7" w:rsidRDefault="0010744A" w:rsidP="00181F4F">
            <w:pPr>
              <w:spacing w:before="100" w:beforeAutospacing="1" w:after="100" w:afterAutospacing="1"/>
              <w:rPr>
                <w:iCs/>
                <w:color w:val="000000"/>
                <w:sz w:val="27"/>
                <w:szCs w:val="27"/>
              </w:rPr>
            </w:pPr>
            <w:r>
              <w:rPr>
                <w:color w:val="000000"/>
                <w:sz w:val="27"/>
                <w:szCs w:val="27"/>
              </w:rPr>
              <w:t xml:space="preserve">Centene </w:t>
            </w:r>
            <w:r w:rsidRPr="00B96568">
              <w:rPr>
                <w:color w:val="000000"/>
                <w:sz w:val="27"/>
                <w:szCs w:val="27"/>
              </w:rPr>
              <w:t>requires</w:t>
            </w:r>
            <w:r>
              <w:rPr>
                <w:color w:val="000000"/>
                <w:sz w:val="27"/>
                <w:szCs w:val="27"/>
              </w:rPr>
              <w:t xml:space="preserve"> a </w:t>
            </w:r>
            <w:r w:rsidRPr="00B96568">
              <w:rPr>
                <w:color w:val="000000"/>
                <w:sz w:val="27"/>
                <w:szCs w:val="27"/>
              </w:rPr>
              <w:t xml:space="preserve">completed SOA form to be submitted with all </w:t>
            </w:r>
            <w:r w:rsidR="00B454B3">
              <w:rPr>
                <w:color w:val="000000"/>
                <w:sz w:val="27"/>
                <w:szCs w:val="27"/>
              </w:rPr>
              <w:t>a</w:t>
            </w:r>
            <w:r w:rsidRPr="00B96568">
              <w:rPr>
                <w:color w:val="000000"/>
                <w:sz w:val="27"/>
                <w:szCs w:val="27"/>
              </w:rPr>
              <w:t xml:space="preserve">gent assisted </w:t>
            </w:r>
            <w:r w:rsidR="00EC3B01">
              <w:rPr>
                <w:color w:val="000000"/>
                <w:sz w:val="27"/>
                <w:szCs w:val="27"/>
              </w:rPr>
              <w:t xml:space="preserve">paper and online </w:t>
            </w:r>
            <w:r w:rsidRPr="00B96568">
              <w:rPr>
                <w:color w:val="000000"/>
                <w:sz w:val="27"/>
                <w:szCs w:val="27"/>
              </w:rPr>
              <w:t>enrollments</w:t>
            </w:r>
            <w:r w:rsidR="00EC3B01">
              <w:rPr>
                <w:color w:val="000000"/>
                <w:sz w:val="27"/>
                <w:szCs w:val="27"/>
              </w:rPr>
              <w:t xml:space="preserve">.  </w:t>
            </w:r>
            <w:r w:rsidR="00CC321A">
              <w:rPr>
                <w:iCs/>
                <w:color w:val="000000"/>
                <w:sz w:val="27"/>
                <w:szCs w:val="27"/>
              </w:rPr>
              <w:t>Beneficiary initiated telephonic enrollments do not require a completed Scope of Appointment</w:t>
            </w:r>
            <w:r w:rsidR="00E000F7">
              <w:rPr>
                <w:iCs/>
                <w:color w:val="000000"/>
                <w:sz w:val="27"/>
                <w:szCs w:val="27"/>
              </w:rPr>
              <w:t>.</w:t>
            </w:r>
            <w:r w:rsidRPr="00B96568">
              <w:rPr>
                <w:i/>
                <w:iCs/>
                <w:color w:val="000000"/>
                <w:sz w:val="27"/>
                <w:szCs w:val="27"/>
              </w:rPr>
              <w:t xml:space="preserve"> </w:t>
            </w:r>
            <w:r w:rsidR="00CC321A">
              <w:rPr>
                <w:iCs/>
                <w:color w:val="000000"/>
                <w:sz w:val="27"/>
                <w:szCs w:val="27"/>
              </w:rPr>
              <w:t xml:space="preserve"> </w:t>
            </w:r>
          </w:p>
          <w:p w:rsidR="0010744A" w:rsidRPr="00B96568" w:rsidRDefault="0010744A" w:rsidP="00181F4F">
            <w:pPr>
              <w:spacing w:before="100" w:beforeAutospacing="1" w:after="100" w:afterAutospacing="1"/>
              <w:rPr>
                <w:color w:val="000000"/>
              </w:rPr>
            </w:pPr>
            <w:r w:rsidRPr="00B96568">
              <w:rPr>
                <w:b/>
                <w:bCs/>
                <w:color w:val="000000"/>
                <w:sz w:val="27"/>
                <w:szCs w:val="27"/>
              </w:rPr>
              <w:t>SOAs must contain the following:</w:t>
            </w:r>
          </w:p>
          <w:p w:rsidR="0010744A" w:rsidRPr="007E6675" w:rsidRDefault="00CC321A" w:rsidP="00700595">
            <w:pPr>
              <w:numPr>
                <w:ilvl w:val="0"/>
                <w:numId w:val="39"/>
              </w:numPr>
              <w:spacing w:before="100" w:beforeAutospacing="1" w:after="100" w:afterAutospacing="1"/>
              <w:rPr>
                <w:color w:val="000000"/>
                <w:sz w:val="27"/>
                <w:szCs w:val="27"/>
              </w:rPr>
            </w:pPr>
            <w:r>
              <w:rPr>
                <w:color w:val="000000"/>
                <w:sz w:val="27"/>
                <w:szCs w:val="27"/>
              </w:rPr>
              <w:t>Indication of</w:t>
            </w:r>
            <w:r w:rsidR="0010744A" w:rsidRPr="00CC31B3">
              <w:rPr>
                <w:color w:val="000000"/>
                <w:sz w:val="27"/>
                <w:szCs w:val="27"/>
              </w:rPr>
              <w:t xml:space="preserve"> the product type(s) (</w:t>
            </w:r>
            <w:r w:rsidR="0010744A">
              <w:rPr>
                <w:color w:val="000000"/>
                <w:sz w:val="27"/>
                <w:szCs w:val="27"/>
              </w:rPr>
              <w:t xml:space="preserve">e.g. </w:t>
            </w:r>
            <w:r w:rsidR="0010744A" w:rsidRPr="00CC31B3">
              <w:rPr>
                <w:color w:val="000000"/>
                <w:sz w:val="27"/>
                <w:szCs w:val="27"/>
              </w:rPr>
              <w:t xml:space="preserve">MA, PDP) to discuss during the </w:t>
            </w:r>
            <w:r w:rsidR="0010744A">
              <w:rPr>
                <w:color w:val="000000"/>
                <w:sz w:val="27"/>
                <w:szCs w:val="27"/>
              </w:rPr>
              <w:t>appointment</w:t>
            </w:r>
            <w:r w:rsidR="00835DEC">
              <w:rPr>
                <w:color w:val="000000"/>
                <w:sz w:val="27"/>
                <w:szCs w:val="27"/>
              </w:rPr>
              <w:t>.</w:t>
            </w:r>
          </w:p>
          <w:p w:rsidR="0010744A" w:rsidRPr="007E6675" w:rsidRDefault="0010744A" w:rsidP="00700595">
            <w:pPr>
              <w:numPr>
                <w:ilvl w:val="0"/>
                <w:numId w:val="39"/>
              </w:numPr>
              <w:spacing w:before="100" w:beforeAutospacing="1" w:after="100" w:afterAutospacing="1"/>
              <w:rPr>
                <w:color w:val="000000"/>
                <w:sz w:val="27"/>
                <w:szCs w:val="27"/>
              </w:rPr>
            </w:pPr>
            <w:r w:rsidRPr="00CC31B3">
              <w:rPr>
                <w:color w:val="000000"/>
                <w:sz w:val="27"/>
                <w:szCs w:val="27"/>
              </w:rPr>
              <w:t>Date of appointment</w:t>
            </w:r>
            <w:r w:rsidR="00835DEC">
              <w:rPr>
                <w:color w:val="000000"/>
                <w:sz w:val="27"/>
                <w:szCs w:val="27"/>
              </w:rPr>
              <w:t>.</w:t>
            </w:r>
          </w:p>
          <w:p w:rsidR="0010744A" w:rsidRPr="007E6675" w:rsidRDefault="0010744A" w:rsidP="00700595">
            <w:pPr>
              <w:numPr>
                <w:ilvl w:val="0"/>
                <w:numId w:val="39"/>
              </w:numPr>
              <w:spacing w:before="100" w:beforeAutospacing="1" w:after="100" w:afterAutospacing="1"/>
              <w:rPr>
                <w:color w:val="000000"/>
                <w:sz w:val="27"/>
                <w:szCs w:val="27"/>
              </w:rPr>
            </w:pPr>
            <w:r w:rsidRPr="00B96568">
              <w:rPr>
                <w:color w:val="000000"/>
                <w:sz w:val="27"/>
                <w:szCs w:val="27"/>
              </w:rPr>
              <w:t xml:space="preserve">Beneficiary </w:t>
            </w:r>
            <w:r w:rsidR="007E6675">
              <w:rPr>
                <w:color w:val="000000"/>
                <w:sz w:val="27"/>
                <w:szCs w:val="27"/>
              </w:rPr>
              <w:t xml:space="preserve">and Agent </w:t>
            </w:r>
            <w:r w:rsidRPr="00B96568">
              <w:rPr>
                <w:color w:val="000000"/>
                <w:sz w:val="27"/>
                <w:szCs w:val="27"/>
              </w:rPr>
              <w:t>contact information (e.g. name, address, telephone number)</w:t>
            </w:r>
            <w:r w:rsidR="00835DEC">
              <w:rPr>
                <w:color w:val="000000"/>
                <w:sz w:val="27"/>
                <w:szCs w:val="27"/>
              </w:rPr>
              <w:t>.</w:t>
            </w:r>
          </w:p>
          <w:p w:rsidR="0010744A" w:rsidRPr="007E6675" w:rsidRDefault="007E6675" w:rsidP="00700595">
            <w:pPr>
              <w:numPr>
                <w:ilvl w:val="0"/>
                <w:numId w:val="39"/>
              </w:numPr>
              <w:spacing w:before="100" w:beforeAutospacing="1" w:after="100" w:afterAutospacing="1"/>
              <w:rPr>
                <w:color w:val="000000"/>
                <w:sz w:val="27"/>
                <w:szCs w:val="27"/>
              </w:rPr>
            </w:pPr>
            <w:r>
              <w:rPr>
                <w:color w:val="000000"/>
                <w:sz w:val="27"/>
                <w:szCs w:val="27"/>
              </w:rPr>
              <w:t>Beneficiary or authorized representative’s s</w:t>
            </w:r>
            <w:r w:rsidR="0010744A" w:rsidRPr="00B96568">
              <w:rPr>
                <w:color w:val="000000"/>
                <w:sz w:val="27"/>
                <w:szCs w:val="27"/>
              </w:rPr>
              <w:t>ignature</w:t>
            </w:r>
            <w:r w:rsidR="00835DEC">
              <w:rPr>
                <w:color w:val="000000"/>
                <w:sz w:val="27"/>
                <w:szCs w:val="27"/>
              </w:rPr>
              <w:t>.</w:t>
            </w:r>
          </w:p>
          <w:p w:rsidR="007E6675" w:rsidRPr="007E6675" w:rsidRDefault="007E6675" w:rsidP="00700595">
            <w:pPr>
              <w:numPr>
                <w:ilvl w:val="0"/>
                <w:numId w:val="39"/>
              </w:numPr>
              <w:spacing w:before="100" w:beforeAutospacing="1" w:after="100" w:afterAutospacing="1"/>
              <w:rPr>
                <w:color w:val="000000"/>
                <w:sz w:val="27"/>
                <w:szCs w:val="27"/>
              </w:rPr>
            </w:pPr>
            <w:r w:rsidRPr="007E6675">
              <w:rPr>
                <w:color w:val="000000"/>
                <w:sz w:val="27"/>
                <w:szCs w:val="27"/>
              </w:rPr>
              <w:t>Agent signature and date</w:t>
            </w:r>
            <w:r w:rsidR="00835DEC">
              <w:rPr>
                <w:color w:val="000000"/>
                <w:sz w:val="27"/>
                <w:szCs w:val="27"/>
              </w:rPr>
              <w:t>.</w:t>
            </w:r>
          </w:p>
          <w:p w:rsidR="00F1228F" w:rsidRPr="00CC321A" w:rsidRDefault="0010744A" w:rsidP="00700595">
            <w:pPr>
              <w:numPr>
                <w:ilvl w:val="0"/>
                <w:numId w:val="39"/>
              </w:numPr>
              <w:spacing w:before="100" w:beforeAutospacing="1" w:after="100" w:afterAutospacing="1"/>
              <w:rPr>
                <w:color w:val="000000"/>
              </w:rPr>
            </w:pPr>
            <w:r w:rsidRPr="00B96568">
              <w:rPr>
                <w:color w:val="000000"/>
                <w:sz w:val="27"/>
                <w:szCs w:val="27"/>
              </w:rPr>
              <w:t xml:space="preserve">A statement </w:t>
            </w:r>
            <w:r w:rsidR="00A0562B">
              <w:rPr>
                <w:color w:val="000000"/>
                <w:sz w:val="27"/>
                <w:szCs w:val="27"/>
              </w:rPr>
              <w:t xml:space="preserve">clarifying </w:t>
            </w:r>
            <w:r w:rsidRPr="00B96568">
              <w:rPr>
                <w:color w:val="000000"/>
                <w:sz w:val="27"/>
                <w:szCs w:val="27"/>
              </w:rPr>
              <w:t>that</w:t>
            </w:r>
            <w:r w:rsidR="00A0562B">
              <w:rPr>
                <w:color w:val="000000"/>
                <w:sz w:val="27"/>
                <w:szCs w:val="27"/>
              </w:rPr>
              <w:t>:</w:t>
            </w:r>
            <w:r w:rsidRPr="00B96568">
              <w:rPr>
                <w:color w:val="000000"/>
                <w:sz w:val="27"/>
                <w:szCs w:val="27"/>
              </w:rPr>
              <w:t xml:space="preserve"> beneficiaries are not obligated to enroll in a plan; their current or future Medicare enrollment status will not be impacted</w:t>
            </w:r>
            <w:r w:rsidR="00A0562B">
              <w:rPr>
                <w:color w:val="000000"/>
                <w:sz w:val="27"/>
                <w:szCs w:val="27"/>
              </w:rPr>
              <w:t>;</w:t>
            </w:r>
            <w:r w:rsidRPr="00B96568">
              <w:rPr>
                <w:color w:val="000000"/>
                <w:sz w:val="27"/>
                <w:szCs w:val="27"/>
              </w:rPr>
              <w:t xml:space="preserve"> and the beneficiary is not automatically enrolled in the plan(s) discussed</w:t>
            </w:r>
            <w:r w:rsidR="00835DEC">
              <w:rPr>
                <w:color w:val="000000"/>
                <w:sz w:val="27"/>
                <w:szCs w:val="27"/>
              </w:rPr>
              <w:t>.</w:t>
            </w:r>
          </w:p>
          <w:p w:rsidR="0010744A" w:rsidRPr="00B96568" w:rsidRDefault="0010744A" w:rsidP="00181F4F">
            <w:pPr>
              <w:rPr>
                <w:color w:val="000000"/>
              </w:rPr>
            </w:pPr>
            <w:r w:rsidRPr="00B96568">
              <w:rPr>
                <w:color w:val="000000"/>
                <w:sz w:val="27"/>
                <w:szCs w:val="27"/>
              </w:rPr>
              <w:t xml:space="preserve">If an </w:t>
            </w:r>
            <w:r w:rsidR="00B454B3">
              <w:rPr>
                <w:color w:val="000000"/>
                <w:sz w:val="27"/>
                <w:szCs w:val="27"/>
              </w:rPr>
              <w:t>a</w:t>
            </w:r>
            <w:r w:rsidRPr="00B96568">
              <w:rPr>
                <w:color w:val="000000"/>
                <w:sz w:val="27"/>
                <w:szCs w:val="27"/>
              </w:rPr>
              <w:t xml:space="preserve">gent conducts a personal appointment with more than one Medicare eligible beneficiary, then the Agent must obtain a signed and completed SOA for </w:t>
            </w:r>
            <w:r w:rsidRPr="00B96568">
              <w:rPr>
                <w:color w:val="000000"/>
                <w:sz w:val="27"/>
                <w:szCs w:val="27"/>
                <w:u w:val="single"/>
              </w:rPr>
              <w:t>each</w:t>
            </w:r>
            <w:r w:rsidRPr="00B96568">
              <w:rPr>
                <w:color w:val="000000"/>
                <w:sz w:val="27"/>
                <w:szCs w:val="27"/>
              </w:rPr>
              <w:t xml:space="preserve"> individual. </w:t>
            </w:r>
          </w:p>
          <w:p w:rsidR="0010744A" w:rsidRPr="00B96568" w:rsidRDefault="0010744A" w:rsidP="00181F4F">
            <w:pPr>
              <w:spacing w:before="100" w:beforeAutospacing="1" w:after="100" w:afterAutospacing="1"/>
              <w:rPr>
                <w:color w:val="000000"/>
              </w:rPr>
            </w:pPr>
            <w:r w:rsidRPr="00B96568">
              <w:rPr>
                <w:color w:val="000000"/>
                <w:sz w:val="27"/>
                <w:szCs w:val="27"/>
              </w:rPr>
              <w:t xml:space="preserve">During an appointment, if </w:t>
            </w:r>
            <w:r w:rsidR="00E752C4" w:rsidRPr="00B96568">
              <w:rPr>
                <w:color w:val="000000"/>
                <w:sz w:val="27"/>
                <w:szCs w:val="27"/>
              </w:rPr>
              <w:t>a</w:t>
            </w:r>
            <w:r w:rsidRPr="00B96568">
              <w:rPr>
                <w:color w:val="000000"/>
                <w:sz w:val="27"/>
                <w:szCs w:val="27"/>
              </w:rPr>
              <w:t xml:space="preserve"> </w:t>
            </w:r>
            <w:r>
              <w:rPr>
                <w:color w:val="000000"/>
                <w:sz w:val="27"/>
                <w:szCs w:val="27"/>
              </w:rPr>
              <w:t>beneficiary</w:t>
            </w:r>
            <w:r w:rsidRPr="00B96568">
              <w:rPr>
                <w:color w:val="000000"/>
                <w:sz w:val="27"/>
                <w:szCs w:val="27"/>
              </w:rPr>
              <w:t xml:space="preserve"> would like to discuss additional product</w:t>
            </w:r>
            <w:r>
              <w:rPr>
                <w:color w:val="000000"/>
                <w:sz w:val="27"/>
                <w:szCs w:val="27"/>
              </w:rPr>
              <w:t xml:space="preserve"> types</w:t>
            </w:r>
            <w:r w:rsidRPr="00B96568">
              <w:rPr>
                <w:color w:val="000000"/>
                <w:sz w:val="27"/>
                <w:szCs w:val="27"/>
              </w:rPr>
              <w:t xml:space="preserve"> not agree</w:t>
            </w:r>
            <w:r>
              <w:rPr>
                <w:color w:val="000000"/>
                <w:sz w:val="27"/>
                <w:szCs w:val="27"/>
              </w:rPr>
              <w:t>d</w:t>
            </w:r>
            <w:r w:rsidRPr="00B96568">
              <w:rPr>
                <w:color w:val="000000"/>
                <w:sz w:val="27"/>
                <w:szCs w:val="27"/>
              </w:rPr>
              <w:t xml:space="preserve"> to in advance, </w:t>
            </w:r>
            <w:r>
              <w:rPr>
                <w:color w:val="000000"/>
                <w:sz w:val="27"/>
                <w:szCs w:val="27"/>
              </w:rPr>
              <w:t>the agent</w:t>
            </w:r>
            <w:r w:rsidRPr="00B96568">
              <w:rPr>
                <w:color w:val="000000"/>
                <w:sz w:val="27"/>
                <w:szCs w:val="27"/>
              </w:rPr>
              <w:t xml:space="preserve"> must</w:t>
            </w:r>
            <w:r>
              <w:rPr>
                <w:color w:val="000000"/>
                <w:sz w:val="27"/>
                <w:szCs w:val="27"/>
              </w:rPr>
              <w:t xml:space="preserve"> document a 2</w:t>
            </w:r>
            <w:r w:rsidRPr="00914CE7">
              <w:rPr>
                <w:color w:val="000000"/>
                <w:sz w:val="27"/>
                <w:szCs w:val="27"/>
                <w:vertAlign w:val="superscript"/>
              </w:rPr>
              <w:t>nd</w:t>
            </w:r>
            <w:r>
              <w:rPr>
                <w:color w:val="000000"/>
                <w:sz w:val="27"/>
                <w:szCs w:val="27"/>
              </w:rPr>
              <w:t xml:space="preserve"> SOA prior to continuing the appointment.</w:t>
            </w:r>
          </w:p>
          <w:p w:rsidR="00E752C4" w:rsidRDefault="0010744A" w:rsidP="00E752C4">
            <w:pPr>
              <w:spacing w:before="240" w:after="100" w:afterAutospacing="1"/>
              <w:rPr>
                <w:b/>
                <w:bCs/>
                <w:color w:val="4181C0"/>
                <w:sz w:val="36"/>
                <w:szCs w:val="36"/>
              </w:rPr>
            </w:pPr>
            <w:r w:rsidRPr="00B96568">
              <w:rPr>
                <w:b/>
                <w:bCs/>
                <w:color w:val="4181C0"/>
                <w:sz w:val="36"/>
                <w:szCs w:val="36"/>
              </w:rPr>
              <w:t>Personal/Individual Appointments</w:t>
            </w:r>
          </w:p>
          <w:p w:rsidR="0010744A" w:rsidRPr="00B96568" w:rsidRDefault="0010744A" w:rsidP="00E752C4">
            <w:pPr>
              <w:spacing w:before="240" w:after="100" w:afterAutospacing="1"/>
              <w:rPr>
                <w:color w:val="000000"/>
              </w:rPr>
            </w:pPr>
            <w:r w:rsidRPr="00B96568">
              <w:rPr>
                <w:color w:val="000000"/>
                <w:sz w:val="27"/>
                <w:szCs w:val="27"/>
              </w:rPr>
              <w:t xml:space="preserve">When conducting personal/individual marketing appointments, </w:t>
            </w:r>
            <w:r w:rsidR="00B454B3">
              <w:rPr>
                <w:color w:val="000000"/>
                <w:sz w:val="27"/>
                <w:szCs w:val="27"/>
              </w:rPr>
              <w:t>a</w:t>
            </w:r>
            <w:r w:rsidRPr="00B96568">
              <w:rPr>
                <w:color w:val="000000"/>
                <w:sz w:val="27"/>
                <w:szCs w:val="27"/>
              </w:rPr>
              <w:t xml:space="preserve">gents may only discuss plan options that were agreed to in advance by the beneficiary </w:t>
            </w:r>
            <w:r w:rsidR="00370C82">
              <w:rPr>
                <w:color w:val="000000"/>
                <w:sz w:val="27"/>
                <w:szCs w:val="27"/>
              </w:rPr>
              <w:t xml:space="preserve">and documented on the Scope of </w:t>
            </w:r>
            <w:r w:rsidR="00665D17">
              <w:rPr>
                <w:color w:val="000000"/>
                <w:sz w:val="27"/>
                <w:szCs w:val="27"/>
              </w:rPr>
              <w:t>Appointment</w:t>
            </w:r>
            <w:r w:rsidR="00370C82">
              <w:rPr>
                <w:color w:val="000000"/>
                <w:sz w:val="27"/>
                <w:szCs w:val="27"/>
              </w:rPr>
              <w:t xml:space="preserve"> form.  Agents</w:t>
            </w:r>
            <w:r w:rsidRPr="00B96568">
              <w:rPr>
                <w:color w:val="000000"/>
                <w:sz w:val="27"/>
                <w:szCs w:val="27"/>
              </w:rPr>
              <w:t xml:space="preserve"> are prohibited from marketing non-healthcare products (such as annuities or life insurance). </w:t>
            </w:r>
          </w:p>
          <w:p w:rsidR="0010744A" w:rsidRPr="00B96568" w:rsidRDefault="0010744A" w:rsidP="00181F4F">
            <w:pPr>
              <w:spacing w:before="100" w:beforeAutospacing="1" w:after="100" w:afterAutospacing="1"/>
              <w:rPr>
                <w:color w:val="000000"/>
              </w:rPr>
            </w:pPr>
            <w:r>
              <w:rPr>
                <w:color w:val="000000"/>
                <w:sz w:val="27"/>
                <w:szCs w:val="27"/>
              </w:rPr>
              <w:t>Agents should use</w:t>
            </w:r>
            <w:r w:rsidRPr="00B96568">
              <w:rPr>
                <w:color w:val="000000"/>
                <w:sz w:val="27"/>
                <w:szCs w:val="27"/>
              </w:rPr>
              <w:t xml:space="preserve"> </w:t>
            </w:r>
            <w:r>
              <w:rPr>
                <w:color w:val="000000"/>
                <w:sz w:val="27"/>
                <w:szCs w:val="27"/>
              </w:rPr>
              <w:t>Centene’s</w:t>
            </w:r>
            <w:r w:rsidRPr="00B96568">
              <w:rPr>
                <w:color w:val="000000"/>
                <w:sz w:val="27"/>
                <w:szCs w:val="27"/>
              </w:rPr>
              <w:t xml:space="preserve"> Medicare Sales Appointment Checklist</w:t>
            </w:r>
            <w:r w:rsidR="00EC3B01">
              <w:rPr>
                <w:color w:val="000000"/>
                <w:sz w:val="27"/>
                <w:szCs w:val="27"/>
              </w:rPr>
              <w:t xml:space="preserve"> </w:t>
            </w:r>
            <w:r w:rsidR="00EC3B01" w:rsidRPr="00B96568">
              <w:rPr>
                <w:color w:val="000000"/>
                <w:sz w:val="27"/>
                <w:szCs w:val="27"/>
              </w:rPr>
              <w:t xml:space="preserve">to </w:t>
            </w:r>
            <w:r w:rsidR="00EC3B01">
              <w:rPr>
                <w:color w:val="000000"/>
                <w:sz w:val="27"/>
                <w:szCs w:val="27"/>
              </w:rPr>
              <w:t>ensure</w:t>
            </w:r>
            <w:r w:rsidR="00EC3B01" w:rsidRPr="00B96568">
              <w:rPr>
                <w:color w:val="000000"/>
                <w:sz w:val="27"/>
                <w:szCs w:val="27"/>
              </w:rPr>
              <w:t xml:space="preserve"> sure </w:t>
            </w:r>
            <w:r w:rsidR="00EC3B01">
              <w:rPr>
                <w:color w:val="000000"/>
                <w:sz w:val="27"/>
                <w:szCs w:val="27"/>
              </w:rPr>
              <w:t>all</w:t>
            </w:r>
            <w:r w:rsidR="00EC3B01" w:rsidRPr="00B96568">
              <w:rPr>
                <w:color w:val="000000"/>
                <w:sz w:val="27"/>
                <w:szCs w:val="27"/>
              </w:rPr>
              <w:t xml:space="preserve"> appropriate topics</w:t>
            </w:r>
            <w:r w:rsidR="00EC3B01">
              <w:rPr>
                <w:color w:val="000000"/>
                <w:sz w:val="27"/>
                <w:szCs w:val="27"/>
              </w:rPr>
              <w:t xml:space="preserve"> are covered</w:t>
            </w:r>
            <w:r w:rsidR="00EC3B01" w:rsidRPr="00B96568">
              <w:rPr>
                <w:color w:val="000000"/>
                <w:sz w:val="27"/>
                <w:szCs w:val="27"/>
              </w:rPr>
              <w:t>.</w:t>
            </w:r>
            <w:r w:rsidR="00EC3B01">
              <w:rPr>
                <w:color w:val="000000"/>
                <w:sz w:val="27"/>
                <w:szCs w:val="27"/>
              </w:rPr>
              <w:t xml:space="preserve">  The checklist</w:t>
            </w:r>
            <w:r w:rsidR="00370C82">
              <w:rPr>
                <w:color w:val="000000"/>
                <w:sz w:val="27"/>
                <w:szCs w:val="27"/>
              </w:rPr>
              <w:t xml:space="preserve"> is available on the </w:t>
            </w:r>
            <w:r w:rsidR="00EC3B01">
              <w:rPr>
                <w:color w:val="000000"/>
                <w:sz w:val="27"/>
                <w:szCs w:val="27"/>
              </w:rPr>
              <w:t xml:space="preserve">health plan website within the </w:t>
            </w:r>
            <w:r w:rsidR="00EC3B01" w:rsidRPr="00EC3B01">
              <w:rPr>
                <w:i/>
                <w:color w:val="000000"/>
                <w:sz w:val="27"/>
                <w:szCs w:val="27"/>
              </w:rPr>
              <w:t>For Brokers</w:t>
            </w:r>
            <w:r w:rsidR="00EC3B01">
              <w:rPr>
                <w:color w:val="000000"/>
                <w:sz w:val="27"/>
                <w:szCs w:val="27"/>
              </w:rPr>
              <w:t xml:space="preserve"> section</w:t>
            </w:r>
            <w:r w:rsidR="00A0562B">
              <w:rPr>
                <w:color w:val="000000"/>
                <w:sz w:val="27"/>
                <w:szCs w:val="27"/>
              </w:rPr>
              <w:t>,</w:t>
            </w:r>
            <w:r w:rsidR="00370C82">
              <w:rPr>
                <w:color w:val="000000"/>
                <w:sz w:val="27"/>
                <w:szCs w:val="27"/>
              </w:rPr>
              <w:t xml:space="preserve"> </w:t>
            </w:r>
          </w:p>
          <w:p w:rsidR="0010744A" w:rsidRPr="00B96568" w:rsidRDefault="0010744A" w:rsidP="00181F4F">
            <w:pPr>
              <w:spacing w:before="100" w:beforeAutospacing="1" w:after="100" w:afterAutospacing="1"/>
              <w:rPr>
                <w:color w:val="000000"/>
              </w:rPr>
            </w:pPr>
            <w:r w:rsidRPr="00B96568">
              <w:rPr>
                <w:color w:val="000000"/>
                <w:sz w:val="27"/>
                <w:szCs w:val="27"/>
              </w:rPr>
              <w:t>Examples of items on the Producer Sales Appointment Checklist include:</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lastRenderedPageBreak/>
              <w:t>Provide a business card at the beginning of every appointment</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 xml:space="preserve">Announce </w:t>
            </w:r>
            <w:r w:rsidR="00B454B3">
              <w:rPr>
                <w:color w:val="000000"/>
                <w:sz w:val="27"/>
                <w:szCs w:val="27"/>
              </w:rPr>
              <w:t>a</w:t>
            </w:r>
            <w:r w:rsidRPr="00B96568">
              <w:rPr>
                <w:color w:val="000000"/>
                <w:sz w:val="27"/>
                <w:szCs w:val="27"/>
              </w:rPr>
              <w:t>gent’s name, the company represented, and all plan types that will be discussed</w:t>
            </w:r>
            <w:r>
              <w:rPr>
                <w:color w:val="000000"/>
                <w:sz w:val="27"/>
                <w:szCs w:val="27"/>
              </w:rPr>
              <w:t xml:space="preserve"> </w:t>
            </w:r>
            <w:r w:rsidRPr="00B96568">
              <w:rPr>
                <w:color w:val="000000"/>
                <w:sz w:val="27"/>
                <w:szCs w:val="27"/>
              </w:rPr>
              <w:t>(as indicated on the SOA)</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If the beneficiary has a legal representative who assists with healthcare decisions (e.g. Power of Attorney, Conservator, or other state- appointed guardian), make sure the legal representative attends the appointment</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Ask about current health coverage</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Clearly explain the benefits, copays, and deductibles</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Clearly communicate to the beneficiary what to expect when changing from his/her current coverage to a new plan</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 xml:space="preserve">Clearly explain the provider network and </w:t>
            </w:r>
            <w:r w:rsidR="00370C82">
              <w:rPr>
                <w:color w:val="000000"/>
                <w:sz w:val="27"/>
                <w:szCs w:val="27"/>
              </w:rPr>
              <w:t xml:space="preserve">use Centene’s on-line </w:t>
            </w:r>
            <w:r w:rsidR="00271C89">
              <w:rPr>
                <w:color w:val="000000"/>
                <w:sz w:val="27"/>
                <w:szCs w:val="27"/>
              </w:rPr>
              <w:t xml:space="preserve">provider </w:t>
            </w:r>
            <w:r w:rsidR="00370C82">
              <w:rPr>
                <w:color w:val="000000"/>
                <w:sz w:val="27"/>
                <w:szCs w:val="27"/>
              </w:rPr>
              <w:t xml:space="preserve">search tool to </w:t>
            </w:r>
            <w:r w:rsidRPr="00B96568">
              <w:rPr>
                <w:color w:val="000000"/>
                <w:sz w:val="27"/>
                <w:szCs w:val="27"/>
              </w:rPr>
              <w:t xml:space="preserve">confirm if the beneficiary’s desired Primary Care Provider (PCP), Physician of Choice (POC), </w:t>
            </w:r>
            <w:r w:rsidR="00271C89">
              <w:rPr>
                <w:color w:val="000000"/>
                <w:sz w:val="27"/>
                <w:szCs w:val="27"/>
              </w:rPr>
              <w:t>and/</w:t>
            </w:r>
            <w:r w:rsidRPr="00B96568">
              <w:rPr>
                <w:color w:val="000000"/>
                <w:sz w:val="27"/>
                <w:szCs w:val="27"/>
              </w:rPr>
              <w:t>or specialist(s</w:t>
            </w:r>
            <w:r w:rsidR="00217235" w:rsidRPr="00B96568">
              <w:rPr>
                <w:color w:val="000000"/>
                <w:sz w:val="27"/>
                <w:szCs w:val="27"/>
              </w:rPr>
              <w:t>) is</w:t>
            </w:r>
            <w:r w:rsidRPr="00B96568">
              <w:rPr>
                <w:color w:val="000000"/>
                <w:sz w:val="27"/>
                <w:szCs w:val="27"/>
              </w:rPr>
              <w:t xml:space="preserve"> within the plan’s network</w:t>
            </w:r>
            <w:r w:rsidR="008B6B54">
              <w:rPr>
                <w:color w:val="000000"/>
                <w:sz w:val="27"/>
                <w:szCs w:val="27"/>
              </w:rPr>
              <w:t>.</w:t>
            </w:r>
            <w:r w:rsidRPr="00B96568">
              <w:rPr>
                <w:color w:val="000000"/>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Clearly explain prescription drug coverage</w:t>
            </w:r>
            <w:r w:rsidR="008B6B54">
              <w:rPr>
                <w:color w:val="000000"/>
                <w:sz w:val="27"/>
                <w:szCs w:val="27"/>
              </w:rPr>
              <w:t>.</w:t>
            </w:r>
            <w:r w:rsidRPr="00B96568">
              <w:rPr>
                <w:color w:val="000000"/>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Clearly communicate to the beneficiary what to expect when changing from his/her current coverage to a new plan</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Ensure that the beneficiary receives a copy of the Pre-Enrollment Kit and all other necessary and required materials</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Remind the beneficiary that he/she will receive a welcome packet in the mail and an Outbound Enrollment Verification (OEV) letter that confirms their plan selection</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At the end of the appointment, encourage the beneficiary to contact you with any additional questions or concerns</w:t>
            </w:r>
            <w:r w:rsidR="008B6B54">
              <w:rPr>
                <w:color w:val="000000"/>
                <w:sz w:val="27"/>
                <w:szCs w:val="27"/>
              </w:rPr>
              <w:t>.</w:t>
            </w:r>
          </w:p>
          <w:p w:rsidR="0010744A" w:rsidRPr="00B96568" w:rsidRDefault="0010744A" w:rsidP="00700595">
            <w:pPr>
              <w:numPr>
                <w:ilvl w:val="0"/>
                <w:numId w:val="39"/>
              </w:numPr>
              <w:spacing w:before="100" w:beforeAutospacing="1" w:after="100" w:afterAutospacing="1"/>
              <w:rPr>
                <w:color w:val="000000"/>
              </w:rPr>
            </w:pPr>
            <w:r>
              <w:rPr>
                <w:color w:val="000000"/>
                <w:sz w:val="27"/>
                <w:szCs w:val="27"/>
              </w:rPr>
              <w:t>Centene’s</w:t>
            </w:r>
            <w:r w:rsidRPr="00B96568">
              <w:rPr>
                <w:color w:val="000000"/>
                <w:sz w:val="27"/>
                <w:szCs w:val="27"/>
              </w:rPr>
              <w:t xml:space="preserve"> </w:t>
            </w:r>
            <w:r w:rsidR="00084182">
              <w:rPr>
                <w:color w:val="000000"/>
                <w:sz w:val="27"/>
                <w:szCs w:val="27"/>
              </w:rPr>
              <w:t xml:space="preserve">Sales Compliance </w:t>
            </w:r>
            <w:r w:rsidRPr="00B96568">
              <w:rPr>
                <w:color w:val="000000"/>
                <w:sz w:val="27"/>
                <w:szCs w:val="27"/>
              </w:rPr>
              <w:t>team will investigate any reported instances of non-complian</w:t>
            </w:r>
            <w:r>
              <w:rPr>
                <w:color w:val="000000"/>
                <w:sz w:val="27"/>
                <w:szCs w:val="27"/>
              </w:rPr>
              <w:t>ce</w:t>
            </w:r>
            <w:r w:rsidRPr="00B96568">
              <w:rPr>
                <w:color w:val="000000"/>
                <w:sz w:val="27"/>
                <w:szCs w:val="27"/>
              </w:rPr>
              <w:t xml:space="preserve"> or inappropriate conduct to determine if corrective actions are necessary. </w:t>
            </w:r>
          </w:p>
          <w:p w:rsidR="0010744A" w:rsidRPr="00B96568" w:rsidRDefault="0010744A" w:rsidP="00181F4F">
            <w:pPr>
              <w:rPr>
                <w:color w:val="000000"/>
              </w:rPr>
            </w:pPr>
            <w:r w:rsidRPr="00B96568">
              <w:rPr>
                <w:b/>
                <w:bCs/>
                <w:color w:val="4181C0"/>
                <w:sz w:val="36"/>
                <w:szCs w:val="36"/>
              </w:rPr>
              <w:t>Marketing in Healthcare Settings</w:t>
            </w:r>
            <w:r w:rsidRPr="00B96568">
              <w:rPr>
                <w:color w:val="000000"/>
                <w:sz w:val="36"/>
                <w:szCs w:val="36"/>
              </w:rPr>
              <w:t xml:space="preserve"> </w:t>
            </w:r>
          </w:p>
          <w:p w:rsidR="0010744A" w:rsidRPr="00B96568" w:rsidRDefault="0010744A" w:rsidP="00181F4F">
            <w:pPr>
              <w:spacing w:before="100" w:beforeAutospacing="1" w:after="100" w:afterAutospacing="1"/>
              <w:rPr>
                <w:color w:val="000000"/>
              </w:rPr>
            </w:pPr>
            <w:r w:rsidRPr="00B96568">
              <w:rPr>
                <w:color w:val="000000"/>
                <w:sz w:val="27"/>
                <w:szCs w:val="27"/>
              </w:rPr>
              <w:t>CMS regulations prohibit sales activities in any healthcare setting where patients primarily receive, or are waiting to receive</w:t>
            </w:r>
            <w:r w:rsidR="002E7749">
              <w:rPr>
                <w:color w:val="000000"/>
                <w:sz w:val="27"/>
                <w:szCs w:val="27"/>
              </w:rPr>
              <w:t>,</w:t>
            </w:r>
            <w:r w:rsidRPr="00B96568">
              <w:rPr>
                <w:color w:val="000000"/>
                <w:sz w:val="27"/>
                <w:szCs w:val="27"/>
              </w:rPr>
              <w:t xml:space="preserve"> health care services. Providing plan information to beneficiaries on a frequently scheduled basis at provider offices </w:t>
            </w:r>
            <w:proofErr w:type="gramStart"/>
            <w:r>
              <w:rPr>
                <w:color w:val="000000"/>
                <w:sz w:val="27"/>
                <w:szCs w:val="27"/>
              </w:rPr>
              <w:t>are</w:t>
            </w:r>
            <w:proofErr w:type="gramEnd"/>
            <w:r w:rsidRPr="00B96568">
              <w:rPr>
                <w:color w:val="000000"/>
                <w:sz w:val="27"/>
                <w:szCs w:val="27"/>
              </w:rPr>
              <w:t xml:space="preserve"> not considered walk-in appointments</w:t>
            </w:r>
            <w:r>
              <w:rPr>
                <w:color w:val="000000"/>
                <w:sz w:val="27"/>
                <w:szCs w:val="27"/>
              </w:rPr>
              <w:t xml:space="preserve"> and must be reported to Centene as marketing events.</w:t>
            </w:r>
          </w:p>
          <w:p w:rsidR="0010744A" w:rsidRDefault="0010744A" w:rsidP="00181F4F">
            <w:pPr>
              <w:spacing w:before="100" w:beforeAutospacing="1" w:after="100" w:afterAutospacing="1"/>
              <w:rPr>
                <w:color w:val="000000"/>
                <w:sz w:val="27"/>
                <w:szCs w:val="27"/>
              </w:rPr>
            </w:pPr>
            <w:r w:rsidRPr="00B96568">
              <w:rPr>
                <w:color w:val="000000"/>
                <w:sz w:val="27"/>
                <w:szCs w:val="27"/>
              </w:rPr>
              <w:t>Agents may not conduct any Sales/Marketing activities in healthcare settings except in common areas. Common areas are locations only accessible to the public. Conducting sales presentations, distributing and accepting enrollment applications, and soliciting beneficiaries is prohibited in areas where</w:t>
            </w:r>
            <w:r w:rsidR="00765F2E">
              <w:rPr>
                <w:color w:val="000000"/>
                <w:sz w:val="27"/>
                <w:szCs w:val="27"/>
              </w:rPr>
              <w:t xml:space="preserve"> individuals primarily </w:t>
            </w:r>
            <w:r w:rsidRPr="00B96568">
              <w:rPr>
                <w:color w:val="000000"/>
                <w:sz w:val="27"/>
                <w:szCs w:val="27"/>
              </w:rPr>
              <w:t xml:space="preserve">receive health care services. Examples of acceptable and </w:t>
            </w:r>
            <w:r w:rsidRPr="00B96568">
              <w:rPr>
                <w:color w:val="000000"/>
                <w:sz w:val="27"/>
                <w:szCs w:val="27"/>
              </w:rPr>
              <w:lastRenderedPageBreak/>
              <w:t>prohibited healthcare settings include:</w:t>
            </w:r>
          </w:p>
          <w:tbl>
            <w:tblPr>
              <w:tblStyle w:val="TableGrid"/>
              <w:tblW w:w="0" w:type="auto"/>
              <w:tblInd w:w="1435" w:type="dxa"/>
              <w:tblLook w:val="04A0" w:firstRow="1" w:lastRow="0" w:firstColumn="1" w:lastColumn="0" w:noHBand="0" w:noVBand="1"/>
            </w:tblPr>
            <w:tblGrid>
              <w:gridCol w:w="3232"/>
              <w:gridCol w:w="3338"/>
            </w:tblGrid>
            <w:tr w:rsidR="0010744A" w:rsidTr="00E752C4">
              <w:tc>
                <w:tcPr>
                  <w:tcW w:w="3232" w:type="dxa"/>
                  <w:shd w:val="pct10" w:color="auto" w:fill="auto"/>
                </w:tcPr>
                <w:p w:rsidR="0010744A" w:rsidRDefault="0010744A" w:rsidP="00181F4F">
                  <w:pPr>
                    <w:spacing w:before="100" w:beforeAutospacing="1" w:after="100" w:afterAutospacing="1"/>
                    <w:jc w:val="center"/>
                    <w:rPr>
                      <w:rFonts w:ascii="Times New Roman" w:eastAsia="Times New Roman" w:hAnsi="Times New Roman"/>
                      <w:color w:val="000000"/>
                    </w:rPr>
                  </w:pPr>
                  <w:r>
                    <w:rPr>
                      <w:rFonts w:ascii="Times New Roman" w:eastAsia="Times New Roman" w:hAnsi="Times New Roman"/>
                      <w:color w:val="000000"/>
                    </w:rPr>
                    <w:t>Acceptable</w:t>
                  </w:r>
                </w:p>
              </w:tc>
              <w:tc>
                <w:tcPr>
                  <w:tcW w:w="3338" w:type="dxa"/>
                  <w:shd w:val="pct10" w:color="auto" w:fill="auto"/>
                </w:tcPr>
                <w:p w:rsidR="0010744A" w:rsidRDefault="0010744A" w:rsidP="00181F4F">
                  <w:pPr>
                    <w:spacing w:before="100" w:beforeAutospacing="1" w:after="100" w:afterAutospacing="1"/>
                    <w:jc w:val="center"/>
                    <w:rPr>
                      <w:rFonts w:ascii="Times New Roman" w:eastAsia="Times New Roman" w:hAnsi="Times New Roman"/>
                      <w:color w:val="000000"/>
                    </w:rPr>
                  </w:pPr>
                  <w:r>
                    <w:rPr>
                      <w:rFonts w:ascii="Times New Roman" w:eastAsia="Times New Roman" w:hAnsi="Times New Roman"/>
                      <w:color w:val="000000"/>
                    </w:rPr>
                    <w:t>Prohibited</w:t>
                  </w:r>
                </w:p>
              </w:tc>
            </w:tr>
            <w:tr w:rsidR="0010744A" w:rsidTr="00E752C4">
              <w:tc>
                <w:tcPr>
                  <w:tcW w:w="3232" w:type="dxa"/>
                </w:tcPr>
                <w:p w:rsidR="0010744A" w:rsidRDefault="0010744A"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Conference rooms</w:t>
                  </w:r>
                </w:p>
              </w:tc>
              <w:tc>
                <w:tcPr>
                  <w:tcW w:w="3338" w:type="dxa"/>
                </w:tcPr>
                <w:p w:rsidR="0010744A" w:rsidRDefault="0010744A"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Exam rooms</w:t>
                  </w:r>
                </w:p>
              </w:tc>
            </w:tr>
            <w:tr w:rsidR="0010744A" w:rsidTr="00E752C4">
              <w:tc>
                <w:tcPr>
                  <w:tcW w:w="3232" w:type="dxa"/>
                </w:tcPr>
                <w:p w:rsidR="0010744A" w:rsidRDefault="0010744A"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Cafeterias</w:t>
                  </w:r>
                </w:p>
              </w:tc>
              <w:tc>
                <w:tcPr>
                  <w:tcW w:w="3338" w:type="dxa"/>
                </w:tcPr>
                <w:p w:rsidR="0010744A" w:rsidRDefault="0010744A"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Doctors’ private offices</w:t>
                  </w:r>
                </w:p>
              </w:tc>
            </w:tr>
            <w:tr w:rsidR="0010744A" w:rsidTr="00E752C4">
              <w:tc>
                <w:tcPr>
                  <w:tcW w:w="3232" w:type="dxa"/>
                </w:tcPr>
                <w:p w:rsidR="0010744A" w:rsidRDefault="0010744A"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Recreation rooms</w:t>
                  </w:r>
                </w:p>
              </w:tc>
              <w:tc>
                <w:tcPr>
                  <w:tcW w:w="3338" w:type="dxa"/>
                </w:tcPr>
                <w:p w:rsidR="0010744A" w:rsidRDefault="00765F2E"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Treatment areas</w:t>
                  </w:r>
                </w:p>
              </w:tc>
            </w:tr>
            <w:tr w:rsidR="0010744A" w:rsidTr="00E752C4">
              <w:tc>
                <w:tcPr>
                  <w:tcW w:w="3232" w:type="dxa"/>
                </w:tcPr>
                <w:p w:rsidR="0010744A" w:rsidRDefault="0010744A"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Community rooms</w:t>
                  </w:r>
                </w:p>
              </w:tc>
              <w:tc>
                <w:tcPr>
                  <w:tcW w:w="3338" w:type="dxa"/>
                </w:tcPr>
                <w:p w:rsidR="0010744A" w:rsidRDefault="0010744A"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Patient rooms</w:t>
                  </w:r>
                </w:p>
              </w:tc>
            </w:tr>
            <w:tr w:rsidR="0010744A" w:rsidTr="00E752C4">
              <w:tc>
                <w:tcPr>
                  <w:tcW w:w="3232" w:type="dxa"/>
                </w:tcPr>
                <w:p w:rsidR="0010744A" w:rsidRDefault="0010744A"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Common entryway</w:t>
                  </w:r>
                </w:p>
              </w:tc>
              <w:tc>
                <w:tcPr>
                  <w:tcW w:w="3338" w:type="dxa"/>
                </w:tcPr>
                <w:p w:rsidR="0010744A" w:rsidRDefault="0010744A"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Pharmacy counter areas</w:t>
                  </w:r>
                </w:p>
              </w:tc>
            </w:tr>
            <w:tr w:rsidR="0010744A" w:rsidTr="00E752C4">
              <w:tc>
                <w:tcPr>
                  <w:tcW w:w="3232" w:type="dxa"/>
                </w:tcPr>
                <w:p w:rsidR="0010744A" w:rsidRDefault="00EC3B01" w:rsidP="00181F4F">
                  <w:pPr>
                    <w:spacing w:before="100" w:beforeAutospacing="1" w:after="100" w:afterAutospacing="1"/>
                    <w:rPr>
                      <w:rFonts w:ascii="Times New Roman" w:eastAsia="Times New Roman" w:hAnsi="Times New Roman"/>
                      <w:color w:val="000000"/>
                    </w:rPr>
                  </w:pPr>
                  <w:r>
                    <w:rPr>
                      <w:rFonts w:ascii="Times New Roman" w:eastAsia="Times New Roman" w:hAnsi="Times New Roman"/>
                      <w:color w:val="000000"/>
                    </w:rPr>
                    <w:t>Waiting Rooms</w:t>
                  </w:r>
                </w:p>
              </w:tc>
              <w:tc>
                <w:tcPr>
                  <w:tcW w:w="3338" w:type="dxa"/>
                </w:tcPr>
                <w:p w:rsidR="0010744A" w:rsidRDefault="0010744A" w:rsidP="00181F4F">
                  <w:pPr>
                    <w:spacing w:before="100" w:beforeAutospacing="1" w:after="100" w:afterAutospacing="1"/>
                    <w:rPr>
                      <w:rFonts w:ascii="Times New Roman" w:eastAsia="Times New Roman" w:hAnsi="Times New Roman"/>
                      <w:color w:val="000000"/>
                    </w:rPr>
                  </w:pPr>
                </w:p>
              </w:tc>
            </w:tr>
          </w:tbl>
          <w:p w:rsidR="00E752C4" w:rsidRPr="00B96568" w:rsidRDefault="00E752C4" w:rsidP="00181F4F">
            <w:pPr>
              <w:spacing w:before="100" w:beforeAutospacing="1" w:after="100" w:afterAutospacing="1"/>
              <w:rPr>
                <w:color w:val="000000"/>
              </w:rPr>
            </w:pPr>
          </w:p>
          <w:p w:rsidR="007E6675" w:rsidRDefault="0010744A" w:rsidP="00181F4F">
            <w:pPr>
              <w:spacing w:before="100" w:beforeAutospacing="1" w:after="100" w:afterAutospacing="1"/>
              <w:rPr>
                <w:b/>
                <w:bCs/>
                <w:color w:val="4181C0"/>
                <w:sz w:val="36"/>
                <w:szCs w:val="36"/>
              </w:rPr>
            </w:pPr>
            <w:r w:rsidRPr="00B96568">
              <w:rPr>
                <w:b/>
                <w:bCs/>
                <w:color w:val="4181C0"/>
                <w:sz w:val="36"/>
                <w:szCs w:val="36"/>
              </w:rPr>
              <w:t xml:space="preserve">Enrollment Applications </w:t>
            </w:r>
            <w:r w:rsidR="00084182" w:rsidRPr="00B96568" w:rsidDel="00084182">
              <w:rPr>
                <w:b/>
                <w:bCs/>
                <w:color w:val="4181C0"/>
                <w:sz w:val="36"/>
                <w:szCs w:val="36"/>
              </w:rPr>
              <w:t xml:space="preserve"> </w:t>
            </w:r>
          </w:p>
          <w:p w:rsidR="0010744A" w:rsidRPr="00E752C4" w:rsidRDefault="0010744A" w:rsidP="00181F4F">
            <w:pPr>
              <w:spacing w:before="100" w:beforeAutospacing="1" w:after="100" w:afterAutospacing="1"/>
              <w:rPr>
                <w:color w:val="000000"/>
                <w:sz w:val="27"/>
                <w:szCs w:val="27"/>
              </w:rPr>
            </w:pPr>
            <w:r w:rsidRPr="00B96568">
              <w:rPr>
                <w:color w:val="000000"/>
                <w:sz w:val="27"/>
                <w:szCs w:val="27"/>
              </w:rPr>
              <w:t xml:space="preserve">Timely and accurate submission of enrollment applications is critical to ensuring that beneficiaries receive the benefits they expect and that </w:t>
            </w:r>
            <w:r>
              <w:rPr>
                <w:color w:val="000000"/>
                <w:sz w:val="27"/>
                <w:szCs w:val="27"/>
              </w:rPr>
              <w:t>Centene</w:t>
            </w:r>
            <w:r w:rsidRPr="00B96568">
              <w:rPr>
                <w:color w:val="000000"/>
                <w:sz w:val="27"/>
                <w:szCs w:val="27"/>
              </w:rPr>
              <w:t xml:space="preserve"> is able to meet CMS requirements. </w:t>
            </w:r>
            <w:r>
              <w:rPr>
                <w:color w:val="000000"/>
                <w:sz w:val="27"/>
                <w:szCs w:val="27"/>
              </w:rPr>
              <w:t>Centene</w:t>
            </w:r>
            <w:r w:rsidRPr="00B96568">
              <w:rPr>
                <w:color w:val="000000"/>
                <w:sz w:val="27"/>
                <w:szCs w:val="27"/>
              </w:rPr>
              <w:t xml:space="preserve"> requires </w:t>
            </w:r>
            <w:r w:rsidR="0097254B">
              <w:rPr>
                <w:color w:val="000000"/>
                <w:sz w:val="27"/>
                <w:szCs w:val="27"/>
              </w:rPr>
              <w:t>a</w:t>
            </w:r>
            <w:r w:rsidRPr="00B96568">
              <w:rPr>
                <w:color w:val="000000"/>
                <w:sz w:val="27"/>
                <w:szCs w:val="27"/>
              </w:rPr>
              <w:t xml:space="preserve">gents to submit enrollment applications and SOAs to </w:t>
            </w:r>
            <w:r>
              <w:rPr>
                <w:color w:val="000000"/>
                <w:sz w:val="27"/>
                <w:szCs w:val="27"/>
              </w:rPr>
              <w:t>Centene’s</w:t>
            </w:r>
            <w:r w:rsidRPr="00B96568">
              <w:rPr>
                <w:color w:val="000000"/>
                <w:sz w:val="27"/>
                <w:szCs w:val="27"/>
              </w:rPr>
              <w:t xml:space="preserve"> Membership Services department no later than </w:t>
            </w:r>
            <w:r w:rsidRPr="00B96568">
              <w:rPr>
                <w:color w:val="000000"/>
                <w:sz w:val="27"/>
                <w:szCs w:val="27"/>
                <w:u w:val="single"/>
              </w:rPr>
              <w:t>one (1) calendar day</w:t>
            </w:r>
            <w:r w:rsidRPr="00B96568">
              <w:rPr>
                <w:color w:val="000000"/>
                <w:sz w:val="27"/>
                <w:szCs w:val="27"/>
              </w:rPr>
              <w:t xml:space="preserve"> after the </w:t>
            </w:r>
            <w:r w:rsidR="0097254B">
              <w:rPr>
                <w:color w:val="000000"/>
                <w:sz w:val="27"/>
                <w:szCs w:val="27"/>
              </w:rPr>
              <w:t>a</w:t>
            </w:r>
            <w:r w:rsidRPr="00B96568">
              <w:rPr>
                <w:color w:val="000000"/>
                <w:sz w:val="27"/>
                <w:szCs w:val="27"/>
              </w:rPr>
              <w:t>gent receives the enrollment application</w:t>
            </w:r>
            <w:r w:rsidRPr="00B96568">
              <w:rPr>
                <w:i/>
                <w:iCs/>
                <w:color w:val="000000"/>
                <w:sz w:val="27"/>
                <w:szCs w:val="27"/>
              </w:rPr>
              <w:t xml:space="preserve"> </w:t>
            </w:r>
            <w:r w:rsidRPr="00B96568">
              <w:rPr>
                <w:color w:val="000000"/>
                <w:sz w:val="27"/>
                <w:szCs w:val="27"/>
              </w:rPr>
              <w:t xml:space="preserve">from the beneficiary. Failure </w:t>
            </w:r>
            <w:r>
              <w:rPr>
                <w:color w:val="000000"/>
                <w:sz w:val="27"/>
                <w:szCs w:val="27"/>
              </w:rPr>
              <w:t xml:space="preserve">to submit timely </w:t>
            </w:r>
            <w:r w:rsidRPr="00B96568">
              <w:rPr>
                <w:color w:val="000000"/>
                <w:sz w:val="27"/>
                <w:szCs w:val="27"/>
              </w:rPr>
              <w:t xml:space="preserve">applications may result in processing delays, which may impact enrollees’ requested coverage date and/or commission payments. </w:t>
            </w:r>
          </w:p>
          <w:p w:rsidR="0010744A" w:rsidRPr="00B96568" w:rsidRDefault="0010744A" w:rsidP="00181F4F">
            <w:pPr>
              <w:spacing w:before="100" w:beforeAutospacing="1" w:after="100" w:afterAutospacing="1"/>
              <w:rPr>
                <w:color w:val="000000"/>
              </w:rPr>
            </w:pPr>
            <w:r w:rsidRPr="00B96568">
              <w:rPr>
                <w:color w:val="000000"/>
                <w:sz w:val="27"/>
                <w:szCs w:val="27"/>
              </w:rPr>
              <w:t xml:space="preserve">Authorized </w:t>
            </w:r>
            <w:r w:rsidR="0097254B">
              <w:rPr>
                <w:color w:val="000000"/>
                <w:sz w:val="27"/>
                <w:szCs w:val="27"/>
              </w:rPr>
              <w:t>a</w:t>
            </w:r>
            <w:r w:rsidRPr="00B96568">
              <w:rPr>
                <w:color w:val="000000"/>
                <w:sz w:val="27"/>
                <w:szCs w:val="27"/>
              </w:rPr>
              <w:t xml:space="preserve">gents affiliated with a </w:t>
            </w:r>
            <w:r>
              <w:rPr>
                <w:color w:val="000000"/>
                <w:sz w:val="27"/>
                <w:szCs w:val="27"/>
              </w:rPr>
              <w:t>Centene</w:t>
            </w:r>
            <w:r w:rsidRPr="00B96568">
              <w:rPr>
                <w:color w:val="000000"/>
                <w:sz w:val="27"/>
                <w:szCs w:val="27"/>
              </w:rPr>
              <w:t xml:space="preserve"> contracted </w:t>
            </w:r>
            <w:r w:rsidR="0097254B">
              <w:rPr>
                <w:color w:val="000000"/>
                <w:sz w:val="27"/>
                <w:szCs w:val="27"/>
              </w:rPr>
              <w:t>s</w:t>
            </w:r>
            <w:r w:rsidRPr="00B96568">
              <w:rPr>
                <w:color w:val="000000"/>
                <w:sz w:val="27"/>
                <w:szCs w:val="27"/>
              </w:rPr>
              <w:t xml:space="preserve">ales </w:t>
            </w:r>
            <w:r w:rsidR="0097254B">
              <w:rPr>
                <w:color w:val="000000"/>
                <w:sz w:val="27"/>
                <w:szCs w:val="27"/>
              </w:rPr>
              <w:t>e</w:t>
            </w:r>
            <w:r w:rsidRPr="00B96568">
              <w:rPr>
                <w:color w:val="000000"/>
                <w:sz w:val="27"/>
                <w:szCs w:val="27"/>
              </w:rPr>
              <w:t xml:space="preserve">ntity may submit applications to their respective </w:t>
            </w:r>
            <w:r w:rsidR="0097254B">
              <w:rPr>
                <w:color w:val="000000"/>
                <w:sz w:val="27"/>
                <w:szCs w:val="27"/>
              </w:rPr>
              <w:t>s</w:t>
            </w:r>
            <w:r w:rsidRPr="00B96568">
              <w:rPr>
                <w:color w:val="000000"/>
                <w:sz w:val="27"/>
                <w:szCs w:val="27"/>
              </w:rPr>
              <w:t xml:space="preserve">ales </w:t>
            </w:r>
            <w:r w:rsidR="0097254B">
              <w:rPr>
                <w:color w:val="000000"/>
                <w:sz w:val="27"/>
                <w:szCs w:val="27"/>
              </w:rPr>
              <w:t>e</w:t>
            </w:r>
            <w:r w:rsidRPr="00B96568">
              <w:rPr>
                <w:color w:val="000000"/>
                <w:sz w:val="27"/>
                <w:szCs w:val="27"/>
              </w:rPr>
              <w:t xml:space="preserve">ntities. In such cases, the </w:t>
            </w:r>
            <w:r w:rsidR="0097254B">
              <w:rPr>
                <w:color w:val="000000"/>
                <w:sz w:val="27"/>
                <w:szCs w:val="27"/>
              </w:rPr>
              <w:t>a</w:t>
            </w:r>
            <w:r w:rsidRPr="00B96568">
              <w:rPr>
                <w:color w:val="000000"/>
                <w:sz w:val="27"/>
                <w:szCs w:val="27"/>
              </w:rPr>
              <w:t xml:space="preserve">gent and </w:t>
            </w:r>
            <w:r w:rsidR="0097254B">
              <w:rPr>
                <w:color w:val="000000"/>
                <w:sz w:val="27"/>
                <w:szCs w:val="27"/>
              </w:rPr>
              <w:t>s</w:t>
            </w:r>
            <w:r w:rsidRPr="00B96568">
              <w:rPr>
                <w:color w:val="000000"/>
                <w:sz w:val="27"/>
                <w:szCs w:val="27"/>
              </w:rPr>
              <w:t xml:space="preserve">ales </w:t>
            </w:r>
            <w:r w:rsidR="0097254B">
              <w:rPr>
                <w:color w:val="000000"/>
                <w:sz w:val="27"/>
                <w:szCs w:val="27"/>
              </w:rPr>
              <w:t>e</w:t>
            </w:r>
            <w:r w:rsidRPr="00B96568">
              <w:rPr>
                <w:color w:val="000000"/>
                <w:sz w:val="27"/>
                <w:szCs w:val="27"/>
              </w:rPr>
              <w:t xml:space="preserve">ntity are responsible for timely submission, ensuring </w:t>
            </w:r>
            <w:r>
              <w:rPr>
                <w:color w:val="000000"/>
                <w:sz w:val="27"/>
                <w:szCs w:val="27"/>
              </w:rPr>
              <w:t>Centene</w:t>
            </w:r>
            <w:r w:rsidRPr="00B96568">
              <w:rPr>
                <w:color w:val="000000"/>
                <w:sz w:val="27"/>
                <w:szCs w:val="27"/>
              </w:rPr>
              <w:t xml:space="preserve"> receives the application no later than one (1) calendar day after receipt from the beneficiary.</w:t>
            </w:r>
          </w:p>
          <w:p w:rsidR="0010744A" w:rsidRPr="00B96568" w:rsidRDefault="0010744A" w:rsidP="00181F4F">
            <w:pPr>
              <w:spacing w:before="100" w:beforeAutospacing="1" w:after="100" w:afterAutospacing="1"/>
              <w:rPr>
                <w:color w:val="000000"/>
              </w:rPr>
            </w:pPr>
            <w:r w:rsidRPr="00B96568">
              <w:rPr>
                <w:b/>
                <w:bCs/>
                <w:i/>
                <w:iCs/>
                <w:color w:val="000000"/>
                <w:sz w:val="27"/>
                <w:szCs w:val="27"/>
              </w:rPr>
              <w:t xml:space="preserve">Note: Sharing beneficiary or application information with an individual or sales entity outside of a </w:t>
            </w:r>
            <w:r>
              <w:rPr>
                <w:b/>
                <w:bCs/>
                <w:i/>
                <w:iCs/>
                <w:color w:val="000000"/>
                <w:sz w:val="27"/>
                <w:szCs w:val="27"/>
              </w:rPr>
              <w:t xml:space="preserve">Centene </w:t>
            </w:r>
            <w:r w:rsidRPr="00B96568">
              <w:rPr>
                <w:b/>
                <w:bCs/>
                <w:i/>
                <w:iCs/>
                <w:color w:val="000000"/>
                <w:sz w:val="27"/>
                <w:szCs w:val="27"/>
              </w:rPr>
              <w:t>contracting agreement is a violation of HIPAA privacy guidelines.</w:t>
            </w:r>
            <w:r w:rsidRPr="00B96568">
              <w:rPr>
                <w:color w:val="000000"/>
                <w:sz w:val="27"/>
                <w:szCs w:val="27"/>
              </w:rPr>
              <w:t xml:space="preserve"> </w:t>
            </w:r>
          </w:p>
          <w:p w:rsidR="0010744A" w:rsidRPr="00B96568" w:rsidRDefault="0010744A" w:rsidP="00181F4F">
            <w:pPr>
              <w:spacing w:before="100" w:beforeAutospacing="1" w:after="100" w:afterAutospacing="1"/>
              <w:rPr>
                <w:color w:val="000000"/>
              </w:rPr>
            </w:pPr>
            <w:r w:rsidRPr="00B96568">
              <w:rPr>
                <w:color w:val="000000"/>
                <w:sz w:val="27"/>
                <w:szCs w:val="27"/>
              </w:rPr>
              <w:t xml:space="preserve">Mailed applications must be sent by overnight mail on the same day as received from the beneficiary. Hand delivered applications must be received by a </w:t>
            </w:r>
            <w:r>
              <w:rPr>
                <w:color w:val="000000"/>
                <w:sz w:val="27"/>
                <w:szCs w:val="27"/>
              </w:rPr>
              <w:t>Centene</w:t>
            </w:r>
            <w:r w:rsidRPr="00B96568">
              <w:rPr>
                <w:color w:val="000000"/>
                <w:sz w:val="27"/>
                <w:szCs w:val="27"/>
              </w:rPr>
              <w:t xml:space="preserve"> Medicare department associate the same day as received from the beneficiary</w:t>
            </w:r>
          </w:p>
          <w:p w:rsidR="0010744A" w:rsidRPr="00B96568" w:rsidRDefault="0010744A" w:rsidP="00181F4F">
            <w:pPr>
              <w:spacing w:before="100" w:beforeAutospacing="1" w:after="100" w:afterAutospacing="1"/>
              <w:rPr>
                <w:color w:val="000000"/>
              </w:rPr>
            </w:pPr>
            <w:r w:rsidRPr="00B96568">
              <w:rPr>
                <w:color w:val="000000"/>
                <w:sz w:val="27"/>
                <w:szCs w:val="27"/>
              </w:rPr>
              <w:t xml:space="preserve">Agents may assist beneficiaries with completing </w:t>
            </w:r>
            <w:r w:rsidR="00060DF6">
              <w:rPr>
                <w:color w:val="000000"/>
                <w:sz w:val="27"/>
                <w:szCs w:val="27"/>
              </w:rPr>
              <w:t>enrollment</w:t>
            </w:r>
            <w:r w:rsidR="00060DF6" w:rsidRPr="00B96568">
              <w:rPr>
                <w:color w:val="000000"/>
                <w:sz w:val="27"/>
                <w:szCs w:val="27"/>
              </w:rPr>
              <w:t xml:space="preserve"> </w:t>
            </w:r>
            <w:r w:rsidRPr="00B96568">
              <w:rPr>
                <w:color w:val="000000"/>
                <w:sz w:val="27"/>
                <w:szCs w:val="27"/>
              </w:rPr>
              <w:t xml:space="preserve">applications; however, only the beneficiary or his/her legal representative (as recognized by state law) may sign an enrollment </w:t>
            </w:r>
            <w:r w:rsidRPr="00B96568">
              <w:rPr>
                <w:color w:val="000000"/>
                <w:sz w:val="27"/>
                <w:szCs w:val="27"/>
              </w:rPr>
              <w:lastRenderedPageBreak/>
              <w:t>request.</w:t>
            </w:r>
            <w:r w:rsidR="00060DF6">
              <w:rPr>
                <w:color w:val="000000"/>
                <w:sz w:val="27"/>
                <w:szCs w:val="27"/>
              </w:rPr>
              <w:t xml:space="preserve">  </w:t>
            </w:r>
            <w:r w:rsidRPr="00B96568">
              <w:rPr>
                <w:color w:val="000000"/>
                <w:sz w:val="27"/>
                <w:szCs w:val="27"/>
              </w:rPr>
              <w:t>Agents must:</w:t>
            </w:r>
          </w:p>
          <w:p w:rsidR="00CA10D1" w:rsidRPr="00217235" w:rsidRDefault="00CA10D1" w:rsidP="00CA10D1">
            <w:pPr>
              <w:numPr>
                <w:ilvl w:val="0"/>
                <w:numId w:val="39"/>
              </w:numPr>
              <w:spacing w:before="100" w:beforeAutospacing="1" w:after="100" w:afterAutospacing="1"/>
              <w:rPr>
                <w:color w:val="000000"/>
                <w:sz w:val="27"/>
                <w:szCs w:val="27"/>
              </w:rPr>
            </w:pPr>
            <w:r w:rsidRPr="00217235">
              <w:rPr>
                <w:color w:val="000000"/>
                <w:sz w:val="27"/>
                <w:szCs w:val="27"/>
              </w:rPr>
              <w:t xml:space="preserve">Review the Pre-Enrollment </w:t>
            </w:r>
            <w:r w:rsidR="00217235" w:rsidRPr="00217235">
              <w:rPr>
                <w:color w:val="000000"/>
                <w:sz w:val="27"/>
                <w:szCs w:val="27"/>
              </w:rPr>
              <w:t>Checklist</w:t>
            </w:r>
            <w:r w:rsidRPr="00217235">
              <w:rPr>
                <w:color w:val="000000"/>
                <w:sz w:val="27"/>
                <w:szCs w:val="27"/>
              </w:rPr>
              <w:t xml:space="preserve"> with the beneficiary which includes </w:t>
            </w:r>
            <w:r w:rsidR="00217235" w:rsidRPr="00217235">
              <w:rPr>
                <w:color w:val="000000"/>
                <w:sz w:val="27"/>
                <w:szCs w:val="27"/>
              </w:rPr>
              <w:t xml:space="preserve">important disclaimers plan rules.  The checklist is </w:t>
            </w:r>
            <w:r w:rsidRPr="00217235">
              <w:rPr>
                <w:color w:val="000000"/>
                <w:sz w:val="27"/>
                <w:szCs w:val="27"/>
              </w:rPr>
              <w:t xml:space="preserve">included </w:t>
            </w:r>
            <w:r w:rsidR="00217235" w:rsidRPr="00217235">
              <w:rPr>
                <w:color w:val="000000"/>
                <w:sz w:val="27"/>
                <w:szCs w:val="27"/>
              </w:rPr>
              <w:t>in the pre-enrollment kit</w:t>
            </w:r>
            <w:r w:rsidRPr="00217235">
              <w:rPr>
                <w:color w:val="000000"/>
                <w:sz w:val="27"/>
                <w:szCs w:val="27"/>
              </w:rPr>
              <w:t>.</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Sign, date, and submit all applications upon receipt from the beneficiary (in the “Office Use Only” section)</w:t>
            </w:r>
            <w:r w:rsidR="008B6B54">
              <w:rPr>
                <w:color w:val="000000"/>
                <w:sz w:val="27"/>
                <w:szCs w:val="27"/>
              </w:rPr>
              <w:t>.</w:t>
            </w:r>
            <w:r w:rsidRPr="00B96568">
              <w:rPr>
                <w:color w:val="000000"/>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“Receipt Date” must accurately reflect the date on which the application was received by the Agent or Sales Entity (via mail, by fax, or in person)</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Use the correct enrollment application for the specific plan year in which enrollment is desired</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Not solicit or accept enrollment applications for a January 1st effective date prior to the start of the Annual Enrollment Period (AEP) on October 15th of each year (unless the beneficiary is new to Medicare on the basis of age or disability, or they qualify for a special election period)</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Include a completed Scope of App</w:t>
            </w:r>
            <w:r w:rsidR="00EC3B01">
              <w:rPr>
                <w:color w:val="000000"/>
                <w:sz w:val="27"/>
                <w:szCs w:val="27"/>
              </w:rPr>
              <w:t>ointment form when submitting a paper or online</w:t>
            </w:r>
            <w:r w:rsidRPr="00B96568">
              <w:rPr>
                <w:color w:val="000000"/>
                <w:sz w:val="27"/>
                <w:szCs w:val="27"/>
              </w:rPr>
              <w:t xml:space="preserve"> enrollment application</w:t>
            </w:r>
            <w:r w:rsidR="008B6B54">
              <w:rPr>
                <w:color w:val="000000"/>
                <w:sz w:val="27"/>
                <w:szCs w:val="27"/>
              </w:rPr>
              <w:t>.</w:t>
            </w:r>
            <w:r w:rsidRPr="00B96568">
              <w:rPr>
                <w:color w:val="000000"/>
                <w:sz w:val="27"/>
                <w:szCs w:val="27"/>
              </w:rPr>
              <w:t xml:space="preserve"> </w:t>
            </w:r>
          </w:p>
          <w:p w:rsidR="0010744A" w:rsidRPr="00B96568" w:rsidRDefault="0010744A" w:rsidP="00181F4F">
            <w:pPr>
              <w:rPr>
                <w:color w:val="000000"/>
              </w:rPr>
            </w:pPr>
            <w:r w:rsidRPr="00B96568">
              <w:rPr>
                <w:color w:val="000000"/>
                <w:sz w:val="27"/>
                <w:szCs w:val="27"/>
              </w:rPr>
              <w:br/>
            </w:r>
            <w:r w:rsidRPr="00B96568">
              <w:rPr>
                <w:i/>
                <w:iCs/>
                <w:color w:val="000000"/>
                <w:sz w:val="27"/>
                <w:szCs w:val="27"/>
              </w:rPr>
              <w:t>Note: All corrections and amendments made on an application must be initialed and dated by the individual making the changes. This includes corrections made in the “Office Use Only” section.</w:t>
            </w:r>
            <w:r w:rsidRPr="00B96568">
              <w:rPr>
                <w:color w:val="000000"/>
                <w:sz w:val="27"/>
                <w:szCs w:val="27"/>
              </w:rPr>
              <w:t xml:space="preserve"> </w:t>
            </w:r>
          </w:p>
          <w:p w:rsidR="0010744A" w:rsidRPr="00B96568" w:rsidRDefault="0010744A" w:rsidP="00181F4F">
            <w:pPr>
              <w:spacing w:before="100" w:beforeAutospacing="1" w:after="100" w:afterAutospacing="1"/>
              <w:rPr>
                <w:color w:val="000000"/>
              </w:rPr>
            </w:pPr>
            <w:r w:rsidRPr="00B96568">
              <w:rPr>
                <w:color w:val="000000"/>
                <w:sz w:val="27"/>
                <w:szCs w:val="27"/>
              </w:rPr>
              <w:t>Best practices when obtaining enrollment applications include:</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 xml:space="preserve">Confirm </w:t>
            </w:r>
            <w:r>
              <w:rPr>
                <w:color w:val="000000"/>
                <w:sz w:val="27"/>
                <w:szCs w:val="27"/>
              </w:rPr>
              <w:t xml:space="preserve">beneficiary </w:t>
            </w:r>
            <w:r w:rsidRPr="00B96568">
              <w:rPr>
                <w:color w:val="000000"/>
                <w:sz w:val="27"/>
                <w:szCs w:val="27"/>
              </w:rPr>
              <w:t>contact information is current (address and phone number)</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Always verify basic eligibility by asking to see the beneficiary’s Medicare card</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Verify D-SNP Eligibility by asking to see the beneficiary’s Medicaid card</w:t>
            </w:r>
            <w:r w:rsidR="008B6B54">
              <w:rPr>
                <w:color w:val="000000"/>
                <w:sz w:val="27"/>
                <w:szCs w:val="27"/>
              </w:rPr>
              <w:t>.</w:t>
            </w:r>
            <w:r w:rsidRPr="00B96568">
              <w:rPr>
                <w:color w:val="000000"/>
                <w:sz w:val="27"/>
                <w:szCs w:val="27"/>
              </w:rPr>
              <w:t xml:space="preserve"> </w:t>
            </w:r>
          </w:p>
          <w:p w:rsidR="0010744A" w:rsidRPr="007229AC" w:rsidRDefault="0010744A" w:rsidP="00700595">
            <w:pPr>
              <w:numPr>
                <w:ilvl w:val="0"/>
                <w:numId w:val="39"/>
              </w:numPr>
              <w:spacing w:before="100" w:beforeAutospacing="1" w:after="100" w:afterAutospacing="1"/>
              <w:rPr>
                <w:color w:val="000000"/>
                <w:sz w:val="27"/>
                <w:szCs w:val="27"/>
              </w:rPr>
            </w:pPr>
            <w:r w:rsidRPr="00B96568">
              <w:rPr>
                <w:color w:val="000000"/>
                <w:sz w:val="27"/>
                <w:szCs w:val="27"/>
              </w:rPr>
              <w:t xml:space="preserve">Provide </w:t>
            </w:r>
            <w:r>
              <w:rPr>
                <w:color w:val="000000"/>
                <w:sz w:val="27"/>
                <w:szCs w:val="27"/>
              </w:rPr>
              <w:t>preferred</w:t>
            </w:r>
            <w:r w:rsidRPr="00B96568">
              <w:rPr>
                <w:color w:val="000000"/>
                <w:sz w:val="27"/>
                <w:szCs w:val="27"/>
              </w:rPr>
              <w:t xml:space="preserve"> language materials when available – Enrollment kits and forms in other languages (e.g. Spanish and Chinese) are readily available in certain geographic areas</w:t>
            </w:r>
            <w:r w:rsidR="008B6B54">
              <w:rPr>
                <w:color w:val="000000"/>
                <w:sz w:val="27"/>
                <w:szCs w:val="27"/>
              </w:rPr>
              <w:t>.</w:t>
            </w:r>
            <w:r w:rsidRPr="00B96568">
              <w:rPr>
                <w:color w:val="000000"/>
                <w:sz w:val="27"/>
                <w:szCs w:val="27"/>
              </w:rPr>
              <w:t xml:space="preserve"> </w:t>
            </w:r>
          </w:p>
          <w:p w:rsidR="0010744A" w:rsidRPr="007229AC" w:rsidRDefault="0010744A" w:rsidP="00700595">
            <w:pPr>
              <w:numPr>
                <w:ilvl w:val="0"/>
                <w:numId w:val="39"/>
              </w:numPr>
              <w:spacing w:before="100" w:beforeAutospacing="1" w:after="100" w:afterAutospacing="1"/>
              <w:rPr>
                <w:color w:val="000000"/>
                <w:sz w:val="27"/>
                <w:szCs w:val="27"/>
              </w:rPr>
            </w:pPr>
            <w:r w:rsidRPr="00B96568">
              <w:rPr>
                <w:color w:val="000000"/>
                <w:sz w:val="27"/>
                <w:szCs w:val="27"/>
              </w:rPr>
              <w:t>Make sure that the beneficiary’s permanent residence is within the county where the plan is offered</w:t>
            </w:r>
            <w:r w:rsidR="008B6B54">
              <w:rPr>
                <w:color w:val="000000"/>
                <w:sz w:val="27"/>
                <w:szCs w:val="27"/>
              </w:rPr>
              <w:t>.</w:t>
            </w:r>
            <w:r w:rsidRPr="00B96568">
              <w:rPr>
                <w:color w:val="000000"/>
                <w:sz w:val="27"/>
                <w:szCs w:val="27"/>
              </w:rPr>
              <w:t xml:space="preserve"> </w:t>
            </w:r>
          </w:p>
          <w:p w:rsidR="00F36D2F" w:rsidRDefault="00F36D2F" w:rsidP="00700595">
            <w:pPr>
              <w:numPr>
                <w:ilvl w:val="0"/>
                <w:numId w:val="39"/>
              </w:numPr>
              <w:spacing w:before="100" w:beforeAutospacing="1" w:after="100" w:afterAutospacing="1"/>
              <w:rPr>
                <w:color w:val="000000"/>
                <w:sz w:val="27"/>
                <w:szCs w:val="27"/>
              </w:rPr>
            </w:pPr>
            <w:r>
              <w:rPr>
                <w:color w:val="000000"/>
                <w:sz w:val="27"/>
                <w:szCs w:val="27"/>
              </w:rPr>
              <w:t>Explain the available methods for premium payment and ensure the beneficiary selects the best option based on their needs and situation.</w:t>
            </w:r>
          </w:p>
          <w:p w:rsidR="00BC72CD" w:rsidRDefault="00BC72CD" w:rsidP="00BC72CD">
            <w:pPr>
              <w:numPr>
                <w:ilvl w:val="1"/>
                <w:numId w:val="39"/>
              </w:numPr>
              <w:spacing w:before="100" w:beforeAutospacing="1" w:after="100" w:afterAutospacing="1"/>
              <w:rPr>
                <w:color w:val="000000"/>
                <w:sz w:val="27"/>
                <w:szCs w:val="27"/>
              </w:rPr>
            </w:pPr>
            <w:r w:rsidRPr="00BC72CD">
              <w:rPr>
                <w:b/>
                <w:color w:val="000000"/>
                <w:sz w:val="27"/>
                <w:szCs w:val="27"/>
              </w:rPr>
              <w:t xml:space="preserve">Social Security </w:t>
            </w:r>
            <w:r w:rsidR="00217235" w:rsidRPr="00BC72CD">
              <w:rPr>
                <w:b/>
                <w:color w:val="000000"/>
                <w:sz w:val="27"/>
                <w:szCs w:val="27"/>
              </w:rPr>
              <w:t>Withhold</w:t>
            </w:r>
            <w:r>
              <w:rPr>
                <w:color w:val="000000"/>
                <w:sz w:val="27"/>
                <w:szCs w:val="27"/>
              </w:rPr>
              <w:t xml:space="preserve"> – The plan premium will be deducted from the members’ monthly Social Security check to pay their monthly plan premiums.  Members should continue to pay premiums directly until the setup is complete.</w:t>
            </w:r>
          </w:p>
          <w:p w:rsidR="00BC72CD" w:rsidRDefault="00BC72CD" w:rsidP="00BC72CD">
            <w:pPr>
              <w:numPr>
                <w:ilvl w:val="1"/>
                <w:numId w:val="39"/>
              </w:numPr>
              <w:spacing w:before="100" w:beforeAutospacing="1" w:after="100" w:afterAutospacing="1"/>
              <w:rPr>
                <w:color w:val="000000"/>
                <w:sz w:val="27"/>
                <w:szCs w:val="27"/>
              </w:rPr>
            </w:pPr>
            <w:r w:rsidRPr="00BC72CD">
              <w:rPr>
                <w:b/>
                <w:color w:val="000000"/>
                <w:sz w:val="27"/>
                <w:szCs w:val="27"/>
              </w:rPr>
              <w:lastRenderedPageBreak/>
              <w:t>Direct Bill</w:t>
            </w:r>
            <w:r>
              <w:rPr>
                <w:color w:val="000000"/>
                <w:sz w:val="27"/>
                <w:szCs w:val="27"/>
              </w:rPr>
              <w:t xml:space="preserve"> – Members will receive a monthly invoice for payment</w:t>
            </w:r>
            <w:r w:rsidR="00574ED9">
              <w:rPr>
                <w:color w:val="000000"/>
                <w:sz w:val="27"/>
                <w:szCs w:val="27"/>
              </w:rPr>
              <w:t>.</w:t>
            </w:r>
          </w:p>
          <w:p w:rsidR="00BC72CD" w:rsidRDefault="00BC72CD" w:rsidP="00BC72CD">
            <w:pPr>
              <w:numPr>
                <w:ilvl w:val="2"/>
                <w:numId w:val="39"/>
              </w:numPr>
              <w:spacing w:before="100" w:beforeAutospacing="1" w:after="100" w:afterAutospacing="1"/>
              <w:rPr>
                <w:color w:val="000000"/>
                <w:sz w:val="27"/>
                <w:szCs w:val="27"/>
              </w:rPr>
            </w:pPr>
            <w:r>
              <w:rPr>
                <w:color w:val="000000"/>
                <w:sz w:val="27"/>
                <w:szCs w:val="27"/>
              </w:rPr>
              <w:t>Electronic payments may be set up for those on Direct Bill by contacting Member Services or visiting the online Member Portal – Centene will continue to issue monthly invoices for members set up with electronic payment.</w:t>
            </w:r>
          </w:p>
          <w:p w:rsidR="00BC72CD" w:rsidRDefault="00BC72CD" w:rsidP="00700595">
            <w:pPr>
              <w:numPr>
                <w:ilvl w:val="0"/>
                <w:numId w:val="39"/>
              </w:numPr>
              <w:spacing w:before="100" w:beforeAutospacing="1" w:after="100" w:afterAutospacing="1"/>
              <w:rPr>
                <w:color w:val="000000"/>
                <w:sz w:val="27"/>
                <w:szCs w:val="27"/>
              </w:rPr>
            </w:pPr>
            <w:r>
              <w:rPr>
                <w:color w:val="000000"/>
                <w:sz w:val="27"/>
                <w:szCs w:val="27"/>
              </w:rPr>
              <w:t>Confirm that the beneficiary has an understanding of Medicare’s Part D Late Enrollment Penalty and what their options and timeframes are if they are assessed a penalty.</w:t>
            </w:r>
          </w:p>
          <w:p w:rsidR="0010744A" w:rsidRPr="007229AC" w:rsidRDefault="0010744A" w:rsidP="00700595">
            <w:pPr>
              <w:numPr>
                <w:ilvl w:val="0"/>
                <w:numId w:val="39"/>
              </w:numPr>
              <w:spacing w:before="100" w:beforeAutospacing="1" w:after="100" w:afterAutospacing="1"/>
              <w:rPr>
                <w:color w:val="000000"/>
                <w:sz w:val="27"/>
                <w:szCs w:val="27"/>
              </w:rPr>
            </w:pPr>
            <w:r w:rsidRPr="00B96568">
              <w:rPr>
                <w:color w:val="000000"/>
                <w:sz w:val="27"/>
                <w:szCs w:val="27"/>
              </w:rPr>
              <w:t xml:space="preserve">Complete the appropriate “Office Use Only” section with legible </w:t>
            </w:r>
            <w:r w:rsidR="007229AC" w:rsidRPr="00B96568">
              <w:rPr>
                <w:color w:val="000000"/>
                <w:sz w:val="27"/>
                <w:szCs w:val="27"/>
              </w:rPr>
              <w:t>information;</w:t>
            </w:r>
            <w:r w:rsidRPr="00B96568">
              <w:rPr>
                <w:color w:val="000000"/>
                <w:sz w:val="27"/>
                <w:szCs w:val="27"/>
              </w:rPr>
              <w:t xml:space="preserve"> including National Producer</w:t>
            </w:r>
            <w:r>
              <w:rPr>
                <w:color w:val="000000"/>
                <w:sz w:val="27"/>
                <w:szCs w:val="27"/>
              </w:rPr>
              <w:t xml:space="preserve"> Number &amp; Plan assigned </w:t>
            </w:r>
            <w:r w:rsidR="007229AC">
              <w:rPr>
                <w:color w:val="000000"/>
                <w:sz w:val="27"/>
                <w:szCs w:val="27"/>
              </w:rPr>
              <w:t xml:space="preserve">Agent </w:t>
            </w:r>
            <w:r>
              <w:rPr>
                <w:color w:val="000000"/>
                <w:sz w:val="27"/>
                <w:szCs w:val="27"/>
              </w:rPr>
              <w:t>ID# (if applicable)</w:t>
            </w:r>
            <w:r w:rsidRPr="00B96568">
              <w:rPr>
                <w:color w:val="000000"/>
                <w:sz w:val="27"/>
                <w:szCs w:val="27"/>
              </w:rPr>
              <w:t xml:space="preserve"> and any up-line contracting information (if included </w:t>
            </w:r>
            <w:r>
              <w:rPr>
                <w:color w:val="000000"/>
                <w:sz w:val="27"/>
                <w:szCs w:val="27"/>
              </w:rPr>
              <w:t>in</w:t>
            </w:r>
            <w:r w:rsidR="00BC72CD">
              <w:rPr>
                <w:color w:val="000000"/>
                <w:sz w:val="27"/>
                <w:szCs w:val="27"/>
              </w:rPr>
              <w:t xml:space="preserve"> the</w:t>
            </w:r>
            <w:r w:rsidRPr="00B96568">
              <w:rPr>
                <w:color w:val="000000"/>
                <w:sz w:val="27"/>
                <w:szCs w:val="27"/>
              </w:rPr>
              <w:t xml:space="preserve"> contracting agreement). </w:t>
            </w:r>
          </w:p>
          <w:p w:rsidR="0010744A" w:rsidRPr="007229AC" w:rsidRDefault="0010744A" w:rsidP="00700595">
            <w:pPr>
              <w:numPr>
                <w:ilvl w:val="0"/>
                <w:numId w:val="39"/>
              </w:numPr>
              <w:spacing w:before="100" w:beforeAutospacing="1" w:after="100" w:afterAutospacing="1"/>
              <w:rPr>
                <w:color w:val="000000"/>
                <w:sz w:val="27"/>
                <w:szCs w:val="27"/>
              </w:rPr>
            </w:pPr>
            <w:r w:rsidRPr="00B96568">
              <w:rPr>
                <w:color w:val="000000"/>
                <w:sz w:val="27"/>
                <w:szCs w:val="27"/>
              </w:rPr>
              <w:t xml:space="preserve">Indicate where the application was completed in the Application Receipt Location section. </w:t>
            </w:r>
          </w:p>
          <w:p w:rsidR="007636DB" w:rsidRPr="007229AC" w:rsidRDefault="007636DB" w:rsidP="00700595">
            <w:pPr>
              <w:numPr>
                <w:ilvl w:val="0"/>
                <w:numId w:val="39"/>
              </w:numPr>
              <w:spacing w:before="100" w:beforeAutospacing="1" w:after="100" w:afterAutospacing="1"/>
              <w:rPr>
                <w:color w:val="000000"/>
                <w:sz w:val="27"/>
                <w:szCs w:val="27"/>
              </w:rPr>
            </w:pPr>
            <w:r w:rsidRPr="007229AC">
              <w:rPr>
                <w:color w:val="000000"/>
                <w:sz w:val="27"/>
                <w:szCs w:val="27"/>
              </w:rPr>
              <w:t>Verify and document the selected physician’s National Provider Identification number, ensuring the NPI matches the number on the online provider search tool</w:t>
            </w:r>
            <w:r w:rsidR="008B6B54">
              <w:rPr>
                <w:color w:val="000000"/>
                <w:sz w:val="27"/>
                <w:szCs w:val="27"/>
              </w:rPr>
              <w:t>.</w:t>
            </w:r>
            <w:r w:rsidRPr="007229AC">
              <w:rPr>
                <w:color w:val="000000"/>
                <w:sz w:val="27"/>
                <w:szCs w:val="27"/>
              </w:rPr>
              <w:t xml:space="preserve"> </w:t>
            </w:r>
          </w:p>
          <w:p w:rsidR="007636DB" w:rsidRPr="007229AC" w:rsidRDefault="007636DB" w:rsidP="00700595">
            <w:pPr>
              <w:numPr>
                <w:ilvl w:val="0"/>
                <w:numId w:val="39"/>
              </w:numPr>
              <w:spacing w:before="100" w:beforeAutospacing="1" w:after="100" w:afterAutospacing="1"/>
              <w:rPr>
                <w:color w:val="000000"/>
                <w:sz w:val="27"/>
                <w:szCs w:val="27"/>
              </w:rPr>
            </w:pPr>
            <w:r w:rsidRPr="007229AC">
              <w:rPr>
                <w:color w:val="000000"/>
                <w:sz w:val="27"/>
                <w:szCs w:val="27"/>
              </w:rPr>
              <w:t>If the physician is part of a provider or medical group, document the group name and ID ensuring it matches the online provider search tool</w:t>
            </w:r>
            <w:r w:rsidR="008B6B54">
              <w:rPr>
                <w:color w:val="000000"/>
                <w:sz w:val="27"/>
                <w:szCs w:val="27"/>
              </w:rPr>
              <w:t>.</w:t>
            </w:r>
          </w:p>
          <w:p w:rsidR="0010744A" w:rsidRPr="007229AC" w:rsidRDefault="0010744A" w:rsidP="00700595">
            <w:pPr>
              <w:numPr>
                <w:ilvl w:val="0"/>
                <w:numId w:val="39"/>
              </w:numPr>
              <w:spacing w:before="100" w:beforeAutospacing="1" w:after="100" w:afterAutospacing="1"/>
              <w:rPr>
                <w:color w:val="000000"/>
                <w:sz w:val="27"/>
                <w:szCs w:val="27"/>
              </w:rPr>
            </w:pPr>
            <w:r w:rsidRPr="00B96568">
              <w:rPr>
                <w:color w:val="000000"/>
                <w:sz w:val="27"/>
                <w:szCs w:val="27"/>
              </w:rPr>
              <w:t xml:space="preserve">Incorrect or illegible information may result in delays of commission payment and/or Agent of </w:t>
            </w:r>
            <w:r>
              <w:rPr>
                <w:color w:val="000000"/>
                <w:sz w:val="27"/>
                <w:szCs w:val="27"/>
              </w:rPr>
              <w:t>R</w:t>
            </w:r>
            <w:r w:rsidRPr="00B96568">
              <w:rPr>
                <w:color w:val="000000"/>
                <w:sz w:val="27"/>
                <w:szCs w:val="27"/>
              </w:rPr>
              <w:t>ecord issues</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 xml:space="preserve">For Chronic Special Needs Plans (C-SNPs): </w:t>
            </w:r>
          </w:p>
          <w:p w:rsidR="0010744A" w:rsidRPr="00B96568" w:rsidRDefault="0010744A" w:rsidP="00700595">
            <w:pPr>
              <w:numPr>
                <w:ilvl w:val="1"/>
                <w:numId w:val="39"/>
              </w:numPr>
              <w:spacing w:before="100" w:beforeAutospacing="1" w:after="100" w:afterAutospacing="1"/>
              <w:rPr>
                <w:color w:val="000000"/>
              </w:rPr>
            </w:pPr>
            <w:r w:rsidRPr="00B96568">
              <w:rPr>
                <w:color w:val="000000"/>
                <w:sz w:val="27"/>
                <w:szCs w:val="27"/>
              </w:rPr>
              <w:t>Enrollment App</w:t>
            </w:r>
            <w:r>
              <w:rPr>
                <w:color w:val="000000"/>
                <w:sz w:val="27"/>
                <w:szCs w:val="27"/>
              </w:rPr>
              <w:t>lications</w:t>
            </w:r>
            <w:r w:rsidRPr="00B96568">
              <w:rPr>
                <w:color w:val="000000"/>
                <w:sz w:val="27"/>
                <w:szCs w:val="27"/>
              </w:rPr>
              <w:t xml:space="preserve"> </w:t>
            </w:r>
            <w:r>
              <w:rPr>
                <w:color w:val="000000"/>
                <w:sz w:val="27"/>
                <w:szCs w:val="27"/>
              </w:rPr>
              <w:t>for</w:t>
            </w:r>
            <w:r w:rsidRPr="00B96568">
              <w:rPr>
                <w:color w:val="000000"/>
                <w:sz w:val="27"/>
                <w:szCs w:val="27"/>
              </w:rPr>
              <w:t xml:space="preserve"> </w:t>
            </w:r>
            <w:r>
              <w:rPr>
                <w:color w:val="000000"/>
                <w:sz w:val="27"/>
                <w:szCs w:val="27"/>
              </w:rPr>
              <w:t>C-SNP</w:t>
            </w:r>
            <w:r w:rsidRPr="00B96568">
              <w:rPr>
                <w:color w:val="000000"/>
                <w:sz w:val="27"/>
                <w:szCs w:val="27"/>
              </w:rPr>
              <w:t xml:space="preserve"> plan</w:t>
            </w:r>
            <w:r>
              <w:rPr>
                <w:color w:val="000000"/>
                <w:sz w:val="27"/>
                <w:szCs w:val="27"/>
              </w:rPr>
              <w:t>s</w:t>
            </w:r>
            <w:r w:rsidRPr="00B96568">
              <w:rPr>
                <w:color w:val="000000"/>
                <w:sz w:val="27"/>
                <w:szCs w:val="27"/>
              </w:rPr>
              <w:t xml:space="preserve"> should be submitted with a member completed Pre-enrollment Qualification Assessment Tool</w:t>
            </w:r>
            <w:r w:rsidR="008B6B54">
              <w:rPr>
                <w:color w:val="000000"/>
                <w:sz w:val="27"/>
                <w:szCs w:val="27"/>
              </w:rPr>
              <w:t>.</w:t>
            </w:r>
            <w:r w:rsidRPr="00B96568">
              <w:rPr>
                <w:color w:val="000000"/>
                <w:sz w:val="27"/>
                <w:szCs w:val="27"/>
              </w:rPr>
              <w:t xml:space="preserve"> </w:t>
            </w:r>
          </w:p>
          <w:p w:rsidR="0010744A" w:rsidRPr="00B96568" w:rsidRDefault="0010744A" w:rsidP="00700595">
            <w:pPr>
              <w:numPr>
                <w:ilvl w:val="1"/>
                <w:numId w:val="39"/>
              </w:numPr>
              <w:spacing w:before="100" w:beforeAutospacing="1" w:after="100" w:afterAutospacing="1"/>
              <w:rPr>
                <w:color w:val="000000"/>
              </w:rPr>
            </w:pPr>
            <w:r w:rsidRPr="00B96568">
              <w:rPr>
                <w:color w:val="000000"/>
                <w:sz w:val="27"/>
                <w:szCs w:val="27"/>
              </w:rPr>
              <w:t>Ensure that the beneficiary indicates his/her qualifying chronic condition(s) on the form</w:t>
            </w:r>
            <w:r w:rsidR="008B6B54">
              <w:rPr>
                <w:color w:val="000000"/>
                <w:sz w:val="27"/>
                <w:szCs w:val="27"/>
              </w:rPr>
              <w:t>.</w:t>
            </w:r>
            <w:r w:rsidRPr="00B96568">
              <w:rPr>
                <w:color w:val="000000"/>
                <w:sz w:val="27"/>
                <w:szCs w:val="27"/>
              </w:rPr>
              <w:t xml:space="preserve"> </w:t>
            </w:r>
          </w:p>
          <w:p w:rsidR="0010744A" w:rsidRPr="00B96568" w:rsidRDefault="0010744A" w:rsidP="00700595">
            <w:pPr>
              <w:numPr>
                <w:ilvl w:val="1"/>
                <w:numId w:val="39"/>
              </w:numPr>
              <w:spacing w:before="100" w:beforeAutospacing="1" w:after="100" w:afterAutospacing="1"/>
              <w:rPr>
                <w:color w:val="000000"/>
              </w:rPr>
            </w:pPr>
            <w:r w:rsidRPr="00B96568">
              <w:rPr>
                <w:color w:val="000000"/>
                <w:sz w:val="27"/>
                <w:szCs w:val="27"/>
              </w:rPr>
              <w:t>Ensure that the beneficiary lists one or two health care providers who can verify the beneficiary’s chronic condition(s)</w:t>
            </w:r>
            <w:r w:rsidR="008B6B54">
              <w:rPr>
                <w:color w:val="000000"/>
                <w:sz w:val="27"/>
                <w:szCs w:val="27"/>
              </w:rPr>
              <w:t>.</w:t>
            </w:r>
            <w:r w:rsidRPr="00B96568">
              <w:rPr>
                <w:color w:val="000000"/>
                <w:sz w:val="27"/>
                <w:szCs w:val="27"/>
              </w:rPr>
              <w:t xml:space="preserve"> </w:t>
            </w:r>
          </w:p>
          <w:p w:rsidR="00F042E2" w:rsidRPr="00B6461E" w:rsidRDefault="00F042E2" w:rsidP="00F042E2">
            <w:pPr>
              <w:spacing w:before="100" w:beforeAutospacing="1" w:after="100" w:afterAutospacing="1"/>
              <w:rPr>
                <w:b/>
                <w:bCs/>
                <w:color w:val="4181C0"/>
                <w:sz w:val="30"/>
                <w:szCs w:val="30"/>
              </w:rPr>
            </w:pPr>
            <w:r w:rsidRPr="00B6461E">
              <w:rPr>
                <w:b/>
                <w:bCs/>
                <w:color w:val="4181C0"/>
                <w:sz w:val="30"/>
                <w:szCs w:val="30"/>
              </w:rPr>
              <w:t>Agent Assisted Electronic</w:t>
            </w:r>
            <w:r w:rsidRPr="00B6461E">
              <w:rPr>
                <w:color w:val="000000"/>
                <w:sz w:val="30"/>
                <w:szCs w:val="30"/>
              </w:rPr>
              <w:t xml:space="preserve"> </w:t>
            </w:r>
            <w:r w:rsidRPr="00B6461E">
              <w:rPr>
                <w:b/>
                <w:bCs/>
                <w:color w:val="4181C0"/>
                <w:sz w:val="30"/>
                <w:szCs w:val="30"/>
              </w:rPr>
              <w:t>Enrollments</w:t>
            </w:r>
          </w:p>
          <w:p w:rsidR="007636DB" w:rsidRDefault="007636DB" w:rsidP="00F042E2">
            <w:pPr>
              <w:spacing w:before="100" w:beforeAutospacing="1" w:after="100" w:afterAutospacing="1"/>
              <w:rPr>
                <w:b/>
                <w:color w:val="000000"/>
                <w:sz w:val="32"/>
                <w:szCs w:val="32"/>
              </w:rPr>
            </w:pPr>
            <w:r>
              <w:rPr>
                <w:color w:val="000000"/>
                <w:sz w:val="27"/>
                <w:szCs w:val="27"/>
              </w:rPr>
              <w:t xml:space="preserve">Agents may assist beneficiaries in submitting electronic enrollment using Centene’s Medicare Online Enrollment (MOE) which is available on the plan website or the </w:t>
            </w:r>
            <w:r w:rsidR="00BD1293">
              <w:rPr>
                <w:color w:val="000000"/>
                <w:sz w:val="27"/>
                <w:szCs w:val="27"/>
              </w:rPr>
              <w:t>Ascend</w:t>
            </w:r>
            <w:r>
              <w:rPr>
                <w:color w:val="000000"/>
                <w:sz w:val="27"/>
                <w:szCs w:val="27"/>
              </w:rPr>
              <w:t xml:space="preserve"> electronic enrollment tool.  When submitting an electronic enrollment, the beneficiary or legal representative must be the individual to consent to (click) the final agreement and submission. </w:t>
            </w:r>
            <w:r w:rsidRPr="00B96568">
              <w:rPr>
                <w:color w:val="000000"/>
                <w:sz w:val="27"/>
                <w:szCs w:val="27"/>
              </w:rPr>
              <w:t xml:space="preserve"> </w:t>
            </w:r>
            <w:r>
              <w:rPr>
                <w:color w:val="000000"/>
                <w:sz w:val="27"/>
                <w:szCs w:val="27"/>
              </w:rPr>
              <w:t xml:space="preserve">  </w:t>
            </w:r>
          </w:p>
          <w:p w:rsidR="00F042E2" w:rsidRPr="00F042E2" w:rsidRDefault="00F042E2" w:rsidP="00B6461E">
            <w:pPr>
              <w:spacing w:before="100" w:beforeAutospacing="1" w:after="100" w:afterAutospacing="1"/>
              <w:ind w:left="720"/>
              <w:rPr>
                <w:b/>
                <w:color w:val="000000"/>
                <w:sz w:val="32"/>
                <w:szCs w:val="32"/>
              </w:rPr>
            </w:pPr>
            <w:r w:rsidRPr="00F042E2">
              <w:rPr>
                <w:b/>
                <w:color w:val="000000"/>
                <w:sz w:val="32"/>
                <w:szCs w:val="32"/>
              </w:rPr>
              <w:t>Ascend</w:t>
            </w:r>
          </w:p>
          <w:p w:rsidR="00F042E2" w:rsidRDefault="00A174DF" w:rsidP="00B6461E">
            <w:pPr>
              <w:spacing w:before="100" w:beforeAutospacing="1" w:after="100" w:afterAutospacing="1"/>
              <w:ind w:left="720"/>
              <w:rPr>
                <w:color w:val="000000"/>
                <w:sz w:val="27"/>
                <w:szCs w:val="27"/>
              </w:rPr>
            </w:pPr>
            <w:r>
              <w:rPr>
                <w:color w:val="000000"/>
                <w:sz w:val="27"/>
                <w:szCs w:val="27"/>
              </w:rPr>
              <w:t>T</w:t>
            </w:r>
            <w:r w:rsidR="00F042E2">
              <w:rPr>
                <w:color w:val="000000"/>
                <w:sz w:val="27"/>
                <w:szCs w:val="27"/>
              </w:rPr>
              <w:t>he Ascend electronic enrollment solution allows agents to quickly and easily assist beneficiaries with submitting electronic enrollment requests.  Agents</w:t>
            </w:r>
            <w:r w:rsidR="00BD1293">
              <w:rPr>
                <w:color w:val="000000"/>
                <w:sz w:val="27"/>
                <w:szCs w:val="27"/>
              </w:rPr>
              <w:t xml:space="preserve"> must receive access </w:t>
            </w:r>
            <w:r w:rsidR="00BD1293">
              <w:rPr>
                <w:color w:val="000000"/>
                <w:sz w:val="27"/>
                <w:szCs w:val="27"/>
              </w:rPr>
              <w:lastRenderedPageBreak/>
              <w:t xml:space="preserve">and approval </w:t>
            </w:r>
            <w:r w:rsidR="007E6675">
              <w:rPr>
                <w:color w:val="000000"/>
                <w:sz w:val="27"/>
                <w:szCs w:val="27"/>
              </w:rPr>
              <w:t>from Cen</w:t>
            </w:r>
            <w:r w:rsidR="00F042E2">
              <w:rPr>
                <w:color w:val="000000"/>
                <w:sz w:val="27"/>
                <w:szCs w:val="27"/>
              </w:rPr>
              <w:t>tene prior to submitting enrollments via Ascend.  For availability and information, agents should contact their AE, MM or RSD</w:t>
            </w:r>
            <w:r w:rsidR="00214002">
              <w:rPr>
                <w:color w:val="000000"/>
                <w:sz w:val="27"/>
                <w:szCs w:val="27"/>
              </w:rPr>
              <w:t xml:space="preserve"> or Broker Services</w:t>
            </w:r>
            <w:r w:rsidR="00F042E2">
              <w:rPr>
                <w:color w:val="000000"/>
                <w:sz w:val="27"/>
                <w:szCs w:val="27"/>
              </w:rPr>
              <w:t>.</w:t>
            </w:r>
          </w:p>
          <w:p w:rsidR="00F042E2" w:rsidRPr="00F042E2" w:rsidRDefault="00F042E2" w:rsidP="00B6461E">
            <w:pPr>
              <w:ind w:left="720"/>
              <w:rPr>
                <w:b/>
                <w:color w:val="000000"/>
                <w:sz w:val="27"/>
                <w:szCs w:val="27"/>
              </w:rPr>
            </w:pPr>
            <w:r w:rsidRPr="00F042E2">
              <w:rPr>
                <w:b/>
                <w:color w:val="000000"/>
                <w:sz w:val="27"/>
                <w:szCs w:val="27"/>
              </w:rPr>
              <w:t>Value Based Enrollments</w:t>
            </w:r>
          </w:p>
          <w:p w:rsidR="00F042E2" w:rsidRPr="00A403C1" w:rsidRDefault="00F042E2" w:rsidP="00B6461E">
            <w:pPr>
              <w:ind w:left="720"/>
              <w:rPr>
                <w:color w:val="000000"/>
                <w:sz w:val="27"/>
                <w:szCs w:val="27"/>
              </w:rPr>
            </w:pPr>
            <w:r>
              <w:rPr>
                <w:color w:val="000000"/>
                <w:sz w:val="27"/>
                <w:szCs w:val="27"/>
              </w:rPr>
              <w:t xml:space="preserve">Agents who use the Ascend enrollment tool are eligible to receive an administration fee that is </w:t>
            </w:r>
            <w:r w:rsidR="007636DB">
              <w:rPr>
                <w:color w:val="000000"/>
                <w:sz w:val="27"/>
                <w:szCs w:val="27"/>
              </w:rPr>
              <w:t>distinctly</w:t>
            </w:r>
            <w:r>
              <w:rPr>
                <w:color w:val="000000"/>
                <w:sz w:val="27"/>
                <w:szCs w:val="27"/>
              </w:rPr>
              <w:t xml:space="preserve"> separate from producer compensation.  This fee is for the submission of Value Based Enrollments (VBEs) which allows the agent </w:t>
            </w:r>
            <w:r w:rsidRPr="00A403C1">
              <w:rPr>
                <w:color w:val="000000"/>
                <w:sz w:val="27"/>
                <w:szCs w:val="27"/>
              </w:rPr>
              <w:t>to help gather health-related information and provide a s</w:t>
            </w:r>
            <w:r w:rsidRPr="00C97C44">
              <w:rPr>
                <w:color w:val="000000"/>
                <w:sz w:val="27"/>
                <w:szCs w:val="27"/>
              </w:rPr>
              <w:t>mooth transition of care to</w:t>
            </w:r>
            <w:r w:rsidRPr="00A403C1">
              <w:rPr>
                <w:color w:val="000000"/>
                <w:sz w:val="27"/>
                <w:szCs w:val="27"/>
              </w:rPr>
              <w:t xml:space="preserve"> Medicare beneficiaries.   Only approved agents </w:t>
            </w:r>
            <w:r>
              <w:rPr>
                <w:color w:val="000000"/>
                <w:sz w:val="27"/>
                <w:szCs w:val="27"/>
              </w:rPr>
              <w:t>who use</w:t>
            </w:r>
            <w:r w:rsidR="00F36D2F">
              <w:rPr>
                <w:color w:val="000000"/>
                <w:sz w:val="27"/>
                <w:szCs w:val="27"/>
              </w:rPr>
              <w:t xml:space="preserve"> </w:t>
            </w:r>
            <w:r w:rsidRPr="000053F7">
              <w:rPr>
                <w:color w:val="000000"/>
                <w:sz w:val="27"/>
                <w:szCs w:val="27"/>
              </w:rPr>
              <w:t>All</w:t>
            </w:r>
            <w:r>
              <w:rPr>
                <w:color w:val="000000"/>
                <w:sz w:val="27"/>
                <w:szCs w:val="27"/>
              </w:rPr>
              <w:t>w</w:t>
            </w:r>
            <w:r w:rsidRPr="00A403C1">
              <w:rPr>
                <w:color w:val="000000"/>
                <w:sz w:val="27"/>
                <w:szCs w:val="27"/>
              </w:rPr>
              <w:t xml:space="preserve">ell’s </w:t>
            </w:r>
            <w:r w:rsidR="00F36D2F">
              <w:rPr>
                <w:color w:val="000000"/>
                <w:sz w:val="27"/>
                <w:szCs w:val="27"/>
              </w:rPr>
              <w:t xml:space="preserve">online </w:t>
            </w:r>
            <w:r w:rsidRPr="00A403C1">
              <w:rPr>
                <w:color w:val="000000"/>
                <w:sz w:val="27"/>
                <w:szCs w:val="27"/>
              </w:rPr>
              <w:t xml:space="preserve">Ascend technology platform can facilitate a </w:t>
            </w:r>
            <w:r>
              <w:rPr>
                <w:color w:val="000000"/>
                <w:sz w:val="27"/>
                <w:szCs w:val="27"/>
              </w:rPr>
              <w:t>VBE</w:t>
            </w:r>
            <w:r w:rsidRPr="00A403C1">
              <w:rPr>
                <w:color w:val="000000"/>
                <w:sz w:val="27"/>
                <w:szCs w:val="27"/>
              </w:rPr>
              <w:t>.</w:t>
            </w:r>
            <w:r>
              <w:rPr>
                <w:color w:val="000000"/>
                <w:sz w:val="27"/>
                <w:szCs w:val="27"/>
              </w:rPr>
              <w:t xml:space="preserve">  Paper enrollment forms are ineligible for the VBE program and may not be entered by the agent into Ascend to qualify for the administration fee.</w:t>
            </w:r>
          </w:p>
          <w:p w:rsidR="008A1A01" w:rsidRDefault="0010744A" w:rsidP="008A1A01">
            <w:pPr>
              <w:spacing w:before="100" w:beforeAutospacing="1" w:after="100" w:afterAutospacing="1"/>
              <w:rPr>
                <w:b/>
                <w:bCs/>
                <w:color w:val="4181C0"/>
                <w:sz w:val="36"/>
                <w:szCs w:val="36"/>
              </w:rPr>
            </w:pPr>
            <w:r w:rsidRPr="00B96568">
              <w:rPr>
                <w:color w:val="000000"/>
              </w:rPr>
              <w:br/>
            </w:r>
            <w:r w:rsidR="008A1A01" w:rsidRPr="00B6461E">
              <w:rPr>
                <w:b/>
                <w:bCs/>
                <w:color w:val="4181C0"/>
                <w:sz w:val="30"/>
                <w:szCs w:val="30"/>
              </w:rPr>
              <w:t>Telephonic Enrollments</w:t>
            </w:r>
          </w:p>
          <w:p w:rsidR="008A1A01" w:rsidRDefault="008A1A01" w:rsidP="00BD1293">
            <w:pPr>
              <w:rPr>
                <w:color w:val="000000"/>
                <w:sz w:val="27"/>
                <w:szCs w:val="27"/>
              </w:rPr>
            </w:pPr>
            <w:r w:rsidRPr="008A1A01">
              <w:rPr>
                <w:color w:val="000000"/>
                <w:sz w:val="27"/>
                <w:szCs w:val="27"/>
              </w:rPr>
              <w:t xml:space="preserve">Telephonic </w:t>
            </w:r>
            <w:r>
              <w:rPr>
                <w:color w:val="000000"/>
                <w:sz w:val="27"/>
                <w:szCs w:val="27"/>
              </w:rPr>
              <w:t>enrollments may be accepted by agents within Centene’s employed or contracted Telesales team, Agent</w:t>
            </w:r>
            <w:r w:rsidR="00C83326">
              <w:rPr>
                <w:color w:val="000000"/>
                <w:sz w:val="27"/>
                <w:szCs w:val="27"/>
              </w:rPr>
              <w:t>s</w:t>
            </w:r>
            <w:r>
              <w:rPr>
                <w:color w:val="000000"/>
                <w:sz w:val="27"/>
                <w:szCs w:val="27"/>
              </w:rPr>
              <w:t xml:space="preserve"> </w:t>
            </w:r>
            <w:r w:rsidR="00C83326">
              <w:rPr>
                <w:color w:val="000000"/>
                <w:sz w:val="27"/>
                <w:szCs w:val="27"/>
              </w:rPr>
              <w:t>within</w:t>
            </w:r>
            <w:r>
              <w:rPr>
                <w:color w:val="000000"/>
                <w:sz w:val="27"/>
                <w:szCs w:val="27"/>
              </w:rPr>
              <w:t xml:space="preserve"> a contracted Sales entity with approval to conduct telephonic enrollments, or agents using the Remote Access Telephonic Enrollment (RATE) feature within Ascend</w:t>
            </w:r>
            <w:r w:rsidR="00C83326">
              <w:rPr>
                <w:color w:val="000000"/>
                <w:sz w:val="27"/>
                <w:szCs w:val="27"/>
              </w:rPr>
              <w:t>.  T</w:t>
            </w:r>
            <w:r>
              <w:rPr>
                <w:color w:val="000000"/>
                <w:sz w:val="27"/>
                <w:szCs w:val="27"/>
              </w:rPr>
              <w:t>he following requirements must be met fo</w:t>
            </w:r>
            <w:r w:rsidR="00C83326">
              <w:rPr>
                <w:color w:val="000000"/>
                <w:sz w:val="27"/>
                <w:szCs w:val="27"/>
              </w:rPr>
              <w:t>r</w:t>
            </w:r>
            <w:r>
              <w:rPr>
                <w:color w:val="000000"/>
                <w:sz w:val="27"/>
                <w:szCs w:val="27"/>
              </w:rPr>
              <w:t xml:space="preserve"> all telephonic enrollments</w:t>
            </w:r>
          </w:p>
          <w:p w:rsidR="008A1A01" w:rsidRPr="008A1A01" w:rsidRDefault="008A1A01" w:rsidP="008A1A01">
            <w:pPr>
              <w:autoSpaceDE w:val="0"/>
              <w:autoSpaceDN w:val="0"/>
              <w:adjustRightInd w:val="0"/>
              <w:rPr>
                <w:color w:val="000000"/>
              </w:rPr>
            </w:pPr>
          </w:p>
          <w:p w:rsidR="00C83326" w:rsidRPr="00C83326" w:rsidRDefault="00C83326" w:rsidP="00700595">
            <w:pPr>
              <w:pStyle w:val="ListParagraph"/>
              <w:numPr>
                <w:ilvl w:val="0"/>
                <w:numId w:val="39"/>
              </w:numPr>
              <w:autoSpaceDE w:val="0"/>
              <w:autoSpaceDN w:val="0"/>
              <w:adjustRightInd w:val="0"/>
              <w:rPr>
                <w:color w:val="000000"/>
                <w:sz w:val="27"/>
                <w:szCs w:val="27"/>
              </w:rPr>
            </w:pPr>
            <w:r w:rsidRPr="00C83326">
              <w:rPr>
                <w:color w:val="000000"/>
                <w:sz w:val="27"/>
                <w:szCs w:val="27"/>
              </w:rPr>
              <w:t xml:space="preserve">Enrollment requests for existing Centene MA and non-MA members may be </w:t>
            </w:r>
            <w:r w:rsidR="00F36D2F">
              <w:rPr>
                <w:color w:val="000000"/>
                <w:sz w:val="27"/>
                <w:szCs w:val="27"/>
              </w:rPr>
              <w:t>accepted during outbound calls</w:t>
            </w:r>
            <w:r w:rsidRPr="00C83326">
              <w:rPr>
                <w:color w:val="000000"/>
                <w:sz w:val="27"/>
                <w:szCs w:val="27"/>
              </w:rPr>
              <w:t xml:space="preserve"> </w:t>
            </w:r>
            <w:r>
              <w:rPr>
                <w:color w:val="000000"/>
                <w:sz w:val="27"/>
                <w:szCs w:val="27"/>
              </w:rPr>
              <w:t>when providing</w:t>
            </w:r>
            <w:r w:rsidRPr="00C83326">
              <w:rPr>
                <w:color w:val="000000"/>
                <w:sz w:val="27"/>
                <w:szCs w:val="27"/>
              </w:rPr>
              <w:t xml:space="preserve"> information about Centene’s Medicare plans</w:t>
            </w:r>
            <w:r w:rsidR="008B6B54">
              <w:rPr>
                <w:color w:val="000000"/>
                <w:sz w:val="27"/>
                <w:szCs w:val="27"/>
              </w:rPr>
              <w:t>.</w:t>
            </w:r>
          </w:p>
          <w:p w:rsidR="00B6461E" w:rsidRDefault="00B6461E" w:rsidP="00700595">
            <w:pPr>
              <w:pStyle w:val="ListParagraph"/>
              <w:numPr>
                <w:ilvl w:val="0"/>
                <w:numId w:val="39"/>
              </w:numPr>
              <w:autoSpaceDE w:val="0"/>
              <w:autoSpaceDN w:val="0"/>
              <w:adjustRightInd w:val="0"/>
              <w:rPr>
                <w:color w:val="000000"/>
                <w:sz w:val="27"/>
                <w:szCs w:val="27"/>
              </w:rPr>
            </w:pPr>
            <w:r>
              <w:rPr>
                <w:color w:val="000000"/>
                <w:sz w:val="27"/>
                <w:szCs w:val="27"/>
              </w:rPr>
              <w:t>Telephonic enrolments must follow a Centene and CMS approved enrollment script</w:t>
            </w:r>
            <w:r w:rsidR="008B6B54">
              <w:rPr>
                <w:color w:val="000000"/>
                <w:sz w:val="27"/>
                <w:szCs w:val="27"/>
              </w:rPr>
              <w:t>.</w:t>
            </w:r>
          </w:p>
          <w:p w:rsidR="00C83326" w:rsidRPr="00C83326" w:rsidRDefault="00C83326" w:rsidP="00700595">
            <w:pPr>
              <w:pStyle w:val="ListParagraph"/>
              <w:numPr>
                <w:ilvl w:val="0"/>
                <w:numId w:val="39"/>
              </w:numPr>
              <w:autoSpaceDE w:val="0"/>
              <w:autoSpaceDN w:val="0"/>
              <w:adjustRightInd w:val="0"/>
              <w:rPr>
                <w:color w:val="000000"/>
                <w:sz w:val="27"/>
                <w:szCs w:val="27"/>
              </w:rPr>
            </w:pPr>
            <w:r w:rsidRPr="00C83326">
              <w:rPr>
                <w:color w:val="000000"/>
                <w:sz w:val="27"/>
                <w:szCs w:val="27"/>
              </w:rPr>
              <w:t xml:space="preserve">The </w:t>
            </w:r>
            <w:r>
              <w:rPr>
                <w:color w:val="000000"/>
                <w:sz w:val="27"/>
                <w:szCs w:val="27"/>
              </w:rPr>
              <w:t>telephonic enrollment request must be</w:t>
            </w:r>
            <w:r w:rsidRPr="00C83326">
              <w:rPr>
                <w:color w:val="000000"/>
                <w:sz w:val="27"/>
                <w:szCs w:val="27"/>
              </w:rPr>
              <w:t xml:space="preserve"> effectuated entirely by the beneficiary or his or her authorized representative. </w:t>
            </w:r>
          </w:p>
          <w:p w:rsidR="00C83326" w:rsidRPr="00C83326" w:rsidRDefault="00C83326" w:rsidP="00700595">
            <w:pPr>
              <w:pStyle w:val="ListParagraph"/>
              <w:numPr>
                <w:ilvl w:val="0"/>
                <w:numId w:val="39"/>
              </w:numPr>
              <w:autoSpaceDE w:val="0"/>
              <w:autoSpaceDN w:val="0"/>
              <w:adjustRightInd w:val="0"/>
              <w:rPr>
                <w:color w:val="000000"/>
                <w:sz w:val="27"/>
                <w:szCs w:val="27"/>
              </w:rPr>
            </w:pPr>
            <w:r w:rsidRPr="00C83326">
              <w:rPr>
                <w:color w:val="000000"/>
                <w:sz w:val="27"/>
                <w:szCs w:val="27"/>
              </w:rPr>
              <w:t xml:space="preserve">Individuals must be advised that they are completing an enrollment request. </w:t>
            </w:r>
          </w:p>
          <w:p w:rsidR="00C83326" w:rsidRDefault="00C83326" w:rsidP="00700595">
            <w:pPr>
              <w:pStyle w:val="ListParagraph"/>
              <w:numPr>
                <w:ilvl w:val="0"/>
                <w:numId w:val="39"/>
              </w:numPr>
              <w:autoSpaceDE w:val="0"/>
              <w:autoSpaceDN w:val="0"/>
              <w:adjustRightInd w:val="0"/>
              <w:rPr>
                <w:color w:val="000000"/>
                <w:sz w:val="27"/>
                <w:szCs w:val="27"/>
              </w:rPr>
            </w:pPr>
            <w:r w:rsidRPr="00C83326">
              <w:rPr>
                <w:color w:val="000000"/>
                <w:sz w:val="27"/>
                <w:szCs w:val="27"/>
              </w:rPr>
              <w:t>Each telephonic enrollment request must be recorded (audio) and include a statement of the individual’s agreement to be recorded, all required elements necess</w:t>
            </w:r>
            <w:r>
              <w:rPr>
                <w:color w:val="000000"/>
                <w:sz w:val="27"/>
                <w:szCs w:val="27"/>
              </w:rPr>
              <w:t xml:space="preserve">ary to complete the enrollment </w:t>
            </w:r>
            <w:r w:rsidRPr="00C83326">
              <w:rPr>
                <w:color w:val="000000"/>
                <w:sz w:val="27"/>
                <w:szCs w:val="27"/>
              </w:rPr>
              <w:t xml:space="preserve">and a verbal attestation of the intent to enroll. If the request is made by someone other than the beneficiary, the recording must include the attestation regarding the individual’s authority under State law to complete the request, in addition to the required contact information. </w:t>
            </w:r>
          </w:p>
          <w:p w:rsidR="00C83326" w:rsidRPr="00C83326" w:rsidRDefault="00C83326" w:rsidP="00700595">
            <w:pPr>
              <w:pStyle w:val="ListParagraph"/>
              <w:numPr>
                <w:ilvl w:val="0"/>
                <w:numId w:val="39"/>
              </w:numPr>
              <w:autoSpaceDE w:val="0"/>
              <w:autoSpaceDN w:val="0"/>
              <w:adjustRightInd w:val="0"/>
              <w:rPr>
                <w:color w:val="000000"/>
                <w:sz w:val="27"/>
                <w:szCs w:val="27"/>
              </w:rPr>
            </w:pPr>
            <w:r w:rsidRPr="00C83326">
              <w:rPr>
                <w:color w:val="000000"/>
                <w:sz w:val="27"/>
                <w:szCs w:val="27"/>
              </w:rPr>
              <w:t>All telephonic enrollment recordings must be reproducible</w:t>
            </w:r>
            <w:r>
              <w:rPr>
                <w:color w:val="000000"/>
                <w:sz w:val="27"/>
                <w:szCs w:val="27"/>
              </w:rPr>
              <w:t xml:space="preserve"> and retained for at least 10 years</w:t>
            </w:r>
            <w:r w:rsidRPr="00C83326">
              <w:rPr>
                <w:color w:val="000000"/>
                <w:sz w:val="27"/>
                <w:szCs w:val="27"/>
              </w:rPr>
              <w:t>.</w:t>
            </w:r>
          </w:p>
          <w:p w:rsidR="00C83326" w:rsidRPr="00C83326" w:rsidRDefault="00C83326" w:rsidP="00700595">
            <w:pPr>
              <w:pStyle w:val="ListParagraph"/>
              <w:numPr>
                <w:ilvl w:val="0"/>
                <w:numId w:val="39"/>
              </w:numPr>
              <w:autoSpaceDE w:val="0"/>
              <w:autoSpaceDN w:val="0"/>
              <w:adjustRightInd w:val="0"/>
              <w:rPr>
                <w:color w:val="000000"/>
                <w:sz w:val="27"/>
                <w:szCs w:val="27"/>
              </w:rPr>
            </w:pPr>
            <w:r>
              <w:rPr>
                <w:color w:val="000000"/>
                <w:sz w:val="27"/>
                <w:szCs w:val="27"/>
              </w:rPr>
              <w:t>Must i</w:t>
            </w:r>
            <w:r w:rsidRPr="00C83326">
              <w:rPr>
                <w:color w:val="000000"/>
                <w:sz w:val="27"/>
                <w:szCs w:val="27"/>
              </w:rPr>
              <w:t xml:space="preserve">nclude a tracking mechanism to provide the individual with evidence that the telephonic enrollment request was received (e.g. a confirmation number). </w:t>
            </w:r>
          </w:p>
          <w:p w:rsidR="008A1A01" w:rsidRDefault="008A1A01" w:rsidP="00BD1293">
            <w:pPr>
              <w:rPr>
                <w:b/>
                <w:bCs/>
                <w:color w:val="4181C0"/>
                <w:sz w:val="36"/>
                <w:szCs w:val="36"/>
              </w:rPr>
            </w:pPr>
          </w:p>
          <w:p w:rsidR="0010744A" w:rsidRPr="00B96568" w:rsidRDefault="0010744A" w:rsidP="00BD1293">
            <w:pPr>
              <w:rPr>
                <w:color w:val="000000"/>
              </w:rPr>
            </w:pPr>
            <w:r w:rsidRPr="00B96568">
              <w:rPr>
                <w:b/>
                <w:bCs/>
                <w:color w:val="4181C0"/>
                <w:sz w:val="36"/>
                <w:szCs w:val="36"/>
              </w:rPr>
              <w:t>Sales Allegations</w:t>
            </w:r>
            <w:r w:rsidRPr="00B96568">
              <w:rPr>
                <w:color w:val="000000"/>
                <w:sz w:val="27"/>
                <w:szCs w:val="27"/>
              </w:rPr>
              <w:br/>
              <w:t xml:space="preserve">A “sales allegation” is a type of complaint which involves potential </w:t>
            </w:r>
            <w:r w:rsidR="00A036A2">
              <w:rPr>
                <w:color w:val="000000"/>
                <w:sz w:val="27"/>
                <w:szCs w:val="27"/>
              </w:rPr>
              <w:t>marketing</w:t>
            </w:r>
            <w:r w:rsidRPr="00B96568">
              <w:rPr>
                <w:color w:val="000000"/>
                <w:sz w:val="27"/>
                <w:szCs w:val="27"/>
              </w:rPr>
              <w:t xml:space="preserve"> misrepresentation</w:t>
            </w:r>
            <w:r w:rsidR="00A036A2">
              <w:rPr>
                <w:color w:val="000000"/>
                <w:sz w:val="27"/>
                <w:szCs w:val="27"/>
              </w:rPr>
              <w:t xml:space="preserve"> or non-compliant conduct</w:t>
            </w:r>
            <w:r w:rsidRPr="00B96568">
              <w:rPr>
                <w:color w:val="000000"/>
                <w:sz w:val="27"/>
                <w:szCs w:val="27"/>
              </w:rPr>
              <w:t xml:space="preserve"> by an Agent. Sales Allegations are typically filed by a beneficiary (or an authorized representative) and may be received by </w:t>
            </w:r>
            <w:r>
              <w:rPr>
                <w:color w:val="000000"/>
                <w:sz w:val="27"/>
                <w:szCs w:val="27"/>
              </w:rPr>
              <w:t>Centene</w:t>
            </w:r>
            <w:r w:rsidR="00A036A2">
              <w:rPr>
                <w:color w:val="000000"/>
                <w:sz w:val="27"/>
                <w:szCs w:val="27"/>
              </w:rPr>
              <w:t xml:space="preserve"> directly, </w:t>
            </w:r>
            <w:r w:rsidRPr="00B96568">
              <w:rPr>
                <w:color w:val="000000"/>
                <w:sz w:val="27"/>
                <w:szCs w:val="27"/>
              </w:rPr>
              <w:t xml:space="preserve">as a complaint filed with CMS through the Complaint Tracking Module (CTM), or via other regulatory agencies. </w:t>
            </w:r>
          </w:p>
          <w:p w:rsidR="0010744A" w:rsidRPr="00B96568" w:rsidRDefault="00BD1293" w:rsidP="00181F4F">
            <w:pPr>
              <w:rPr>
                <w:color w:val="000000"/>
              </w:rPr>
            </w:pPr>
            <w:r>
              <w:rPr>
                <w:color w:val="000000"/>
                <w:sz w:val="27"/>
                <w:szCs w:val="27"/>
              </w:rPr>
              <w:t>Agents will be notified of any allegations against them by Sales Compliance and must</w:t>
            </w:r>
            <w:r w:rsidR="001800F0">
              <w:rPr>
                <w:color w:val="000000"/>
                <w:sz w:val="27"/>
                <w:szCs w:val="27"/>
              </w:rPr>
              <w:t xml:space="preserve"> </w:t>
            </w:r>
            <w:r>
              <w:rPr>
                <w:color w:val="000000"/>
                <w:sz w:val="27"/>
                <w:szCs w:val="27"/>
              </w:rPr>
              <w:t xml:space="preserve">provide </w:t>
            </w:r>
            <w:r w:rsidR="001800F0">
              <w:rPr>
                <w:color w:val="000000"/>
                <w:sz w:val="27"/>
                <w:szCs w:val="27"/>
              </w:rPr>
              <w:t>a detailed response</w:t>
            </w:r>
            <w:r w:rsidR="00A036A2">
              <w:rPr>
                <w:color w:val="000000"/>
                <w:sz w:val="27"/>
                <w:szCs w:val="27"/>
              </w:rPr>
              <w:t xml:space="preserve"> by the due date specified on the notification</w:t>
            </w:r>
            <w:r w:rsidR="001800F0">
              <w:rPr>
                <w:color w:val="000000"/>
                <w:sz w:val="27"/>
                <w:szCs w:val="27"/>
              </w:rPr>
              <w:t xml:space="preserve">.  Responses should </w:t>
            </w:r>
            <w:r w:rsidR="0010744A" w:rsidRPr="00B96568">
              <w:rPr>
                <w:color w:val="000000"/>
                <w:sz w:val="27"/>
                <w:szCs w:val="27"/>
              </w:rPr>
              <w:t xml:space="preserve">address all Agent related issues expressed in the beneficiary’s complaint. Additionally, the following information should be included in the Agent response to provide context: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Date and time of the appointment (or event)</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Source of the lead</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 xml:space="preserve">Information about others </w:t>
            </w:r>
            <w:proofErr w:type="gramStart"/>
            <w:r w:rsidRPr="00B96568">
              <w:rPr>
                <w:color w:val="000000"/>
                <w:sz w:val="27"/>
                <w:szCs w:val="27"/>
              </w:rPr>
              <w:t>present</w:t>
            </w:r>
            <w:proofErr w:type="gramEnd"/>
            <w:r w:rsidRPr="00B96568">
              <w:rPr>
                <w:color w:val="000000"/>
                <w:sz w:val="27"/>
                <w:szCs w:val="27"/>
              </w:rPr>
              <w:t xml:space="preserve"> at the appointment and relationship to the beneficiary (if known)</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Any concerns expressed by the beneficiary during the appointment</w:t>
            </w:r>
            <w:r w:rsidR="008B6B54">
              <w:rPr>
                <w:color w:val="000000"/>
                <w:sz w:val="27"/>
                <w:szCs w:val="27"/>
              </w:rPr>
              <w:t>.</w:t>
            </w:r>
            <w:r w:rsidRPr="00B96568">
              <w:rPr>
                <w:color w:val="000000"/>
                <w:sz w:val="27"/>
                <w:szCs w:val="27"/>
              </w:rPr>
              <w:t xml:space="preserve"> </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Description of any follow-up contact with the beneficiary</w:t>
            </w:r>
            <w:r w:rsidR="008B6B54">
              <w:rPr>
                <w:color w:val="000000"/>
                <w:sz w:val="27"/>
                <w:szCs w:val="27"/>
              </w:rPr>
              <w:t>.</w:t>
            </w:r>
            <w:r w:rsidRPr="00B96568">
              <w:rPr>
                <w:color w:val="000000"/>
                <w:sz w:val="27"/>
                <w:szCs w:val="27"/>
              </w:rPr>
              <w:t xml:space="preserve"> </w:t>
            </w:r>
          </w:p>
          <w:p w:rsidR="0010744A" w:rsidRPr="00B96568" w:rsidRDefault="0010744A" w:rsidP="00A036A2">
            <w:pPr>
              <w:autoSpaceDE w:val="0"/>
              <w:autoSpaceDN w:val="0"/>
              <w:adjustRightInd w:val="0"/>
              <w:rPr>
                <w:color w:val="000000"/>
              </w:rPr>
            </w:pPr>
            <w:r w:rsidRPr="004E27EF">
              <w:rPr>
                <w:color w:val="000000"/>
                <w:sz w:val="27"/>
                <w:szCs w:val="27"/>
              </w:rPr>
              <w:t xml:space="preserve">Note: </w:t>
            </w:r>
            <w:r w:rsidRPr="00B335B7">
              <w:rPr>
                <w:color w:val="000000"/>
                <w:sz w:val="27"/>
                <w:szCs w:val="27"/>
              </w:rPr>
              <w:t>During the time a sales allegation is under review, it is prohibited for Medicare Sales Management, sales entities, and/or the sales agent to contact the beneficiary.</w:t>
            </w:r>
            <w:r w:rsidR="00357F4B">
              <w:rPr>
                <w:color w:val="000000"/>
                <w:sz w:val="27"/>
                <w:szCs w:val="27"/>
              </w:rPr>
              <w:t xml:space="preserve"> </w:t>
            </w:r>
            <w:r w:rsidR="00B40878">
              <w:rPr>
                <w:color w:val="000000"/>
                <w:sz w:val="27"/>
                <w:szCs w:val="27"/>
              </w:rPr>
              <w:t xml:space="preserve">Sales </w:t>
            </w:r>
            <w:r w:rsidR="008B6B54">
              <w:rPr>
                <w:color w:val="000000"/>
                <w:sz w:val="27"/>
                <w:szCs w:val="27"/>
              </w:rPr>
              <w:t xml:space="preserve">Compliance </w:t>
            </w:r>
            <w:r w:rsidR="008B6B54" w:rsidRPr="00B96568">
              <w:rPr>
                <w:color w:val="000000"/>
                <w:sz w:val="27"/>
                <w:szCs w:val="27"/>
              </w:rPr>
              <w:t>and</w:t>
            </w:r>
            <w:r w:rsidRPr="00B96568">
              <w:rPr>
                <w:color w:val="000000"/>
                <w:sz w:val="27"/>
                <w:szCs w:val="27"/>
              </w:rPr>
              <w:t xml:space="preserve"> Sales Management will review each case on its own merits – including the beneficiary’s complaint statement, the Agent’s response, and all other pertinent documents– in order recommend a determination with a severity level and identify corrective actions, if necessary. </w:t>
            </w:r>
            <w:r w:rsidRPr="00B96568">
              <w:rPr>
                <w:color w:val="000000"/>
                <w:sz w:val="27"/>
                <w:szCs w:val="27"/>
              </w:rPr>
              <w:br/>
            </w:r>
            <w:r w:rsidRPr="00B96568">
              <w:rPr>
                <w:color w:val="000000"/>
                <w:sz w:val="27"/>
                <w:szCs w:val="27"/>
              </w:rPr>
              <w:br/>
            </w:r>
            <w:r w:rsidRPr="00B96568">
              <w:rPr>
                <w:b/>
                <w:bCs/>
                <w:color w:val="4181C0"/>
                <w:sz w:val="36"/>
                <w:szCs w:val="36"/>
              </w:rPr>
              <w:t>Rapid Disenrollment</w:t>
            </w:r>
          </w:p>
          <w:p w:rsidR="0010744A" w:rsidRPr="00B335B7" w:rsidRDefault="0010744A" w:rsidP="00181F4F">
            <w:pPr>
              <w:pStyle w:val="Default"/>
              <w:rPr>
                <w:rFonts w:ascii="Times New Roman" w:eastAsia="Times New Roman" w:hAnsi="Times New Roman" w:cs="Times New Roman"/>
                <w:sz w:val="27"/>
                <w:szCs w:val="27"/>
              </w:rPr>
            </w:pPr>
            <w:r w:rsidRPr="00B96568">
              <w:rPr>
                <w:rFonts w:ascii="Times New Roman" w:eastAsia="Times New Roman" w:hAnsi="Times New Roman" w:cs="Times New Roman"/>
                <w:sz w:val="27"/>
                <w:szCs w:val="27"/>
              </w:rPr>
              <w:t>A “rapid dis</w:t>
            </w:r>
            <w:r>
              <w:rPr>
                <w:rFonts w:ascii="Times New Roman" w:eastAsia="Times New Roman" w:hAnsi="Times New Roman" w:cs="Times New Roman"/>
                <w:sz w:val="27"/>
                <w:szCs w:val="27"/>
              </w:rPr>
              <w:t xml:space="preserve">enrollment” is when an </w:t>
            </w:r>
            <w:r w:rsidRPr="00B335B7">
              <w:rPr>
                <w:rFonts w:ascii="Times New Roman" w:eastAsia="Times New Roman" w:hAnsi="Times New Roman" w:cs="Times New Roman"/>
                <w:sz w:val="27"/>
                <w:szCs w:val="27"/>
              </w:rPr>
              <w:t xml:space="preserve">enrollee moves from one Parent Organization to another Parent Organization, or when an enrollee moves from one plan to another plan within the same Parent Organization, within the first three months of enrollment </w:t>
            </w:r>
          </w:p>
          <w:p w:rsidR="0010744A" w:rsidRPr="00B96568" w:rsidRDefault="0010744A" w:rsidP="00181F4F">
            <w:pPr>
              <w:spacing w:before="100" w:beforeAutospacing="1" w:after="100" w:afterAutospacing="1"/>
              <w:rPr>
                <w:color w:val="000000"/>
              </w:rPr>
            </w:pPr>
            <w:r w:rsidRPr="00B96568">
              <w:rPr>
                <w:color w:val="000000"/>
                <w:sz w:val="27"/>
                <w:szCs w:val="27"/>
              </w:rPr>
              <w:t xml:space="preserve">Certain disenrollments that occur within the first three months of enrollment are excluded from </w:t>
            </w:r>
            <w:r>
              <w:rPr>
                <w:color w:val="000000"/>
                <w:sz w:val="27"/>
                <w:szCs w:val="27"/>
              </w:rPr>
              <w:t>Centene’s</w:t>
            </w:r>
            <w:r w:rsidRPr="00B96568">
              <w:rPr>
                <w:color w:val="000000"/>
                <w:sz w:val="27"/>
                <w:szCs w:val="27"/>
              </w:rPr>
              <w:t xml:space="preserve"> rapid disenrollment reporting, as specified by CMS in the Medicare Marketing Guidelines. </w:t>
            </w:r>
          </w:p>
          <w:p w:rsidR="0010744A" w:rsidRPr="00B96568" w:rsidRDefault="0010744A" w:rsidP="00181F4F">
            <w:pPr>
              <w:spacing w:before="100" w:beforeAutospacing="1" w:after="100" w:afterAutospacing="1"/>
              <w:rPr>
                <w:color w:val="000000"/>
              </w:rPr>
            </w:pPr>
            <w:r>
              <w:rPr>
                <w:color w:val="000000"/>
                <w:sz w:val="27"/>
                <w:szCs w:val="27"/>
              </w:rPr>
              <w:t xml:space="preserve">Centene </w:t>
            </w:r>
            <w:r w:rsidRPr="00B96568">
              <w:rPr>
                <w:color w:val="000000"/>
                <w:sz w:val="27"/>
                <w:szCs w:val="27"/>
              </w:rPr>
              <w:t xml:space="preserve">encourages all agents to prevent rapid disenrollments by striving to enroll each beneficiary into a plan that best meets his/her particular needs and ensuring that all plan features, </w:t>
            </w:r>
            <w:r w:rsidRPr="00B96568">
              <w:rPr>
                <w:color w:val="000000"/>
                <w:sz w:val="27"/>
                <w:szCs w:val="27"/>
              </w:rPr>
              <w:lastRenderedPageBreak/>
              <w:t>benefits, provider network restrictions, etc. are clearly explained.</w:t>
            </w:r>
          </w:p>
          <w:p w:rsidR="0010744A" w:rsidRPr="00B96568" w:rsidRDefault="0010744A" w:rsidP="00181F4F">
            <w:pPr>
              <w:spacing w:before="100" w:beforeAutospacing="1" w:after="100" w:afterAutospacing="1"/>
              <w:rPr>
                <w:color w:val="000000"/>
              </w:rPr>
            </w:pPr>
            <w:r>
              <w:rPr>
                <w:color w:val="000000"/>
                <w:sz w:val="27"/>
                <w:szCs w:val="27"/>
              </w:rPr>
              <w:t>Centene</w:t>
            </w:r>
            <w:r w:rsidRPr="00B96568">
              <w:rPr>
                <w:color w:val="000000"/>
                <w:sz w:val="27"/>
                <w:szCs w:val="27"/>
              </w:rPr>
              <w:t xml:space="preserve"> follows CMS rules related to compensation recovery and will chargeback any compensation paid to an Agent for an enrollment which results in a rapid disenrollment.</w:t>
            </w:r>
          </w:p>
          <w:p w:rsidR="0010744A" w:rsidRPr="00B96568" w:rsidRDefault="0010744A" w:rsidP="00181F4F">
            <w:pPr>
              <w:spacing w:before="100" w:beforeAutospacing="1" w:after="100" w:afterAutospacing="1"/>
              <w:rPr>
                <w:color w:val="000000"/>
              </w:rPr>
            </w:pPr>
            <w:r w:rsidRPr="00B96568">
              <w:rPr>
                <w:b/>
                <w:bCs/>
                <w:color w:val="4181C0"/>
                <w:sz w:val="36"/>
                <w:szCs w:val="36"/>
              </w:rPr>
              <w:t>Broker Compensation</w:t>
            </w:r>
          </w:p>
          <w:p w:rsidR="0010744A" w:rsidRPr="00B96568" w:rsidRDefault="0010744A" w:rsidP="00181F4F">
            <w:pPr>
              <w:spacing w:before="100" w:beforeAutospacing="1" w:after="100" w:afterAutospacing="1"/>
              <w:rPr>
                <w:color w:val="000000"/>
              </w:rPr>
            </w:pPr>
            <w:r w:rsidRPr="00B96568">
              <w:rPr>
                <w:color w:val="000000"/>
                <w:sz w:val="27"/>
                <w:szCs w:val="27"/>
              </w:rPr>
              <w:t>In order to receive initial and renewal sales commissions, Agents must continue to be fully licensed and appointed, as required by CMS and state law. Additionally, both initial and renewal sales commissions are dependent on Agents completing annual Medicare training</w:t>
            </w:r>
            <w:r>
              <w:rPr>
                <w:color w:val="000000"/>
                <w:sz w:val="27"/>
                <w:szCs w:val="27"/>
              </w:rPr>
              <w:t>, testing</w:t>
            </w:r>
            <w:r w:rsidRPr="00B96568">
              <w:rPr>
                <w:color w:val="000000"/>
                <w:sz w:val="27"/>
                <w:szCs w:val="27"/>
              </w:rPr>
              <w:t xml:space="preserve"> and certification, as well as all required </w:t>
            </w:r>
            <w:r>
              <w:rPr>
                <w:color w:val="000000"/>
                <w:sz w:val="27"/>
                <w:szCs w:val="27"/>
              </w:rPr>
              <w:t>Centene</w:t>
            </w:r>
            <w:r w:rsidRPr="00B96568">
              <w:rPr>
                <w:color w:val="000000"/>
                <w:sz w:val="27"/>
                <w:szCs w:val="27"/>
              </w:rPr>
              <w:t xml:space="preserve"> product and compliance trainings. </w:t>
            </w:r>
          </w:p>
          <w:p w:rsidR="0010744A" w:rsidRPr="00B96568" w:rsidRDefault="0010744A" w:rsidP="00181F4F">
            <w:pPr>
              <w:spacing w:before="100" w:beforeAutospacing="1" w:after="100" w:afterAutospacing="1"/>
              <w:rPr>
                <w:color w:val="000000"/>
              </w:rPr>
            </w:pPr>
            <w:r w:rsidRPr="00B96568">
              <w:rPr>
                <w:color w:val="000000"/>
                <w:sz w:val="27"/>
                <w:szCs w:val="27"/>
              </w:rPr>
              <w:t xml:space="preserve">Compensation is recovered for all disenrollments as required by CMS. Chargebacks occur on a pro-rated basis, equal to the number of months that the beneficiary was not enrolled, </w:t>
            </w:r>
            <w:r w:rsidRPr="00B96568">
              <w:rPr>
                <w:i/>
                <w:iCs/>
                <w:color w:val="000000"/>
                <w:sz w:val="27"/>
                <w:szCs w:val="27"/>
              </w:rPr>
              <w:t>unless</w:t>
            </w:r>
            <w:r w:rsidRPr="00B96568">
              <w:rPr>
                <w:color w:val="000000"/>
                <w:sz w:val="27"/>
                <w:szCs w:val="27"/>
              </w:rPr>
              <w:t xml:space="preserve"> recovery in full is required due to a rapid disenrollment.</w:t>
            </w:r>
          </w:p>
          <w:p w:rsidR="0010744A" w:rsidRPr="00B96568" w:rsidRDefault="0010744A" w:rsidP="00181F4F">
            <w:pPr>
              <w:spacing w:before="100" w:beforeAutospacing="1" w:after="100" w:afterAutospacing="1"/>
              <w:rPr>
                <w:color w:val="000000"/>
              </w:rPr>
            </w:pPr>
            <w:r w:rsidRPr="00B96568">
              <w:rPr>
                <w:b/>
                <w:bCs/>
                <w:color w:val="4181C0"/>
                <w:sz w:val="36"/>
                <w:szCs w:val="36"/>
              </w:rPr>
              <w:t>Marketing Materials</w:t>
            </w:r>
          </w:p>
          <w:p w:rsidR="0010744A" w:rsidRPr="00B96568" w:rsidRDefault="0010744A" w:rsidP="00181F4F">
            <w:pPr>
              <w:spacing w:before="100" w:beforeAutospacing="1" w:after="100" w:afterAutospacing="1"/>
              <w:rPr>
                <w:color w:val="000000"/>
              </w:rPr>
            </w:pPr>
            <w:r w:rsidRPr="00B96568">
              <w:rPr>
                <w:color w:val="000000"/>
                <w:sz w:val="27"/>
                <w:szCs w:val="27"/>
              </w:rPr>
              <w:t>All advertising, sales presentations, marketing, and enrollment materials including third party websites</w:t>
            </w:r>
            <w:r>
              <w:rPr>
                <w:color w:val="000000"/>
                <w:sz w:val="27"/>
                <w:szCs w:val="27"/>
              </w:rPr>
              <w:t xml:space="preserve"> and electronic marketing communications</w:t>
            </w:r>
            <w:r w:rsidRPr="00B96568">
              <w:rPr>
                <w:color w:val="000000"/>
                <w:sz w:val="27"/>
                <w:szCs w:val="27"/>
              </w:rPr>
              <w:t xml:space="preserve"> must be approved for use by </w:t>
            </w:r>
            <w:r>
              <w:rPr>
                <w:color w:val="000000"/>
                <w:sz w:val="27"/>
                <w:szCs w:val="27"/>
              </w:rPr>
              <w:t>Centene</w:t>
            </w:r>
            <w:r w:rsidR="00A036A2">
              <w:rPr>
                <w:color w:val="000000"/>
                <w:sz w:val="27"/>
                <w:szCs w:val="27"/>
              </w:rPr>
              <w:t xml:space="preserve"> and CMS prior to use</w:t>
            </w:r>
            <w:r w:rsidRPr="00B96568">
              <w:rPr>
                <w:color w:val="000000"/>
                <w:sz w:val="27"/>
                <w:szCs w:val="27"/>
              </w:rPr>
              <w:t xml:space="preserve"> if one or more of the below applies:</w:t>
            </w:r>
          </w:p>
          <w:p w:rsidR="0010744A" w:rsidRPr="00B96568" w:rsidRDefault="008E69E6" w:rsidP="00700595">
            <w:pPr>
              <w:numPr>
                <w:ilvl w:val="0"/>
                <w:numId w:val="39"/>
              </w:numPr>
              <w:spacing w:before="100" w:beforeAutospacing="1" w:after="100" w:afterAutospacing="1"/>
              <w:rPr>
                <w:color w:val="000000"/>
              </w:rPr>
            </w:pPr>
            <w:r>
              <w:rPr>
                <w:color w:val="000000"/>
                <w:sz w:val="27"/>
                <w:szCs w:val="27"/>
              </w:rPr>
              <w:t>Contains content intended to draw a beneficiary’s attention to a MA plan or plans and to influence a beneficiaries decision making process when selecting a MA plan</w:t>
            </w:r>
            <w:r w:rsidR="008B6B54">
              <w:rPr>
                <w:color w:val="000000"/>
                <w:sz w:val="27"/>
                <w:szCs w:val="27"/>
              </w:rPr>
              <w:t>.</w:t>
            </w:r>
          </w:p>
          <w:p w:rsidR="0010744A" w:rsidRPr="00B96568" w:rsidRDefault="0010744A" w:rsidP="00700595">
            <w:pPr>
              <w:numPr>
                <w:ilvl w:val="0"/>
                <w:numId w:val="39"/>
              </w:numPr>
              <w:spacing w:before="100" w:beforeAutospacing="1" w:after="100" w:afterAutospacing="1"/>
              <w:rPr>
                <w:color w:val="000000"/>
              </w:rPr>
            </w:pPr>
            <w:r w:rsidRPr="00B96568">
              <w:rPr>
                <w:color w:val="000000"/>
                <w:sz w:val="27"/>
                <w:szCs w:val="27"/>
              </w:rPr>
              <w:t>Mentions seminars where sales representatives are present</w:t>
            </w:r>
            <w:r w:rsidR="008B6B54">
              <w:rPr>
                <w:color w:val="000000"/>
                <w:sz w:val="27"/>
                <w:szCs w:val="27"/>
              </w:rPr>
              <w:t>.</w:t>
            </w:r>
            <w:r w:rsidRPr="00B96568">
              <w:rPr>
                <w:color w:val="000000"/>
                <w:sz w:val="27"/>
                <w:szCs w:val="27"/>
              </w:rPr>
              <w:t xml:space="preserve"> </w:t>
            </w:r>
          </w:p>
          <w:p w:rsidR="0010744A" w:rsidRPr="00B96568" w:rsidRDefault="0010744A" w:rsidP="008E69E6">
            <w:pPr>
              <w:rPr>
                <w:color w:val="000000"/>
              </w:rPr>
            </w:pPr>
            <w:r w:rsidRPr="00B96568">
              <w:rPr>
                <w:color w:val="000000"/>
                <w:sz w:val="27"/>
                <w:szCs w:val="27"/>
              </w:rPr>
              <w:br/>
              <w:t xml:space="preserve">Marketing material content and/or required disclaimers may change based on regulatory requirements or plan design changes. Agents using </w:t>
            </w:r>
            <w:r>
              <w:rPr>
                <w:color w:val="000000"/>
                <w:sz w:val="27"/>
                <w:szCs w:val="27"/>
              </w:rPr>
              <w:t>Centene</w:t>
            </w:r>
            <w:r w:rsidRPr="00B96568">
              <w:rPr>
                <w:color w:val="000000"/>
                <w:sz w:val="27"/>
                <w:szCs w:val="27"/>
              </w:rPr>
              <w:t xml:space="preserve"> created materials are expected to validate that only the most recently published versions (as available on the Broker Portal) are used for marketing purposes. Custom marketing materials must be submitted to </w:t>
            </w:r>
            <w:r>
              <w:rPr>
                <w:color w:val="000000"/>
                <w:sz w:val="27"/>
                <w:szCs w:val="27"/>
              </w:rPr>
              <w:t>Centene</w:t>
            </w:r>
            <w:r w:rsidRPr="00B96568">
              <w:rPr>
                <w:color w:val="000000"/>
                <w:sz w:val="27"/>
                <w:szCs w:val="27"/>
              </w:rPr>
              <w:t xml:space="preserve"> annually and approved prior to use for the upcoming contract year. </w:t>
            </w:r>
          </w:p>
          <w:p w:rsidR="0010744A" w:rsidRPr="00B96568" w:rsidRDefault="0010744A" w:rsidP="00181F4F">
            <w:pPr>
              <w:rPr>
                <w:color w:val="000000"/>
              </w:rPr>
            </w:pPr>
            <w:r w:rsidRPr="00B96568">
              <w:rPr>
                <w:color w:val="000000"/>
                <w:sz w:val="27"/>
                <w:szCs w:val="27"/>
              </w:rPr>
              <w:t>New and modified materials must be submitted for review and approval prior to use.</w:t>
            </w:r>
            <w:r w:rsidRPr="00B96568">
              <w:rPr>
                <w:color w:val="000000"/>
                <w:sz w:val="27"/>
                <w:szCs w:val="27"/>
              </w:rPr>
              <w:br/>
            </w:r>
          </w:p>
          <w:p w:rsidR="0010744A" w:rsidRPr="00B96568" w:rsidRDefault="0010744A" w:rsidP="00181F4F">
            <w:pPr>
              <w:spacing w:before="100" w:beforeAutospacing="1" w:after="100" w:afterAutospacing="1"/>
              <w:rPr>
                <w:color w:val="000000"/>
              </w:rPr>
            </w:pPr>
            <w:r>
              <w:rPr>
                <w:color w:val="000000"/>
                <w:sz w:val="27"/>
                <w:szCs w:val="27"/>
              </w:rPr>
              <w:lastRenderedPageBreak/>
              <w:t>Contact your AE, MM or Broker Services for additional information</w:t>
            </w:r>
          </w:p>
          <w:p w:rsidR="0010744A" w:rsidRPr="00E752C4" w:rsidRDefault="0010744A" w:rsidP="00181F4F">
            <w:pPr>
              <w:spacing w:before="100" w:beforeAutospacing="1" w:after="100" w:afterAutospacing="1"/>
              <w:rPr>
                <w:color w:val="000000"/>
                <w:sz w:val="32"/>
                <w:szCs w:val="32"/>
              </w:rPr>
            </w:pPr>
            <w:r w:rsidRPr="00E752C4">
              <w:rPr>
                <w:b/>
                <w:bCs/>
                <w:color w:val="4181C0"/>
                <w:sz w:val="32"/>
                <w:szCs w:val="32"/>
              </w:rPr>
              <w:t>Third Party Websites</w:t>
            </w:r>
          </w:p>
          <w:p w:rsidR="0010744A" w:rsidRPr="00B96568" w:rsidRDefault="0010744A" w:rsidP="00181F4F">
            <w:pPr>
              <w:spacing w:before="100" w:beforeAutospacing="1" w:after="100" w:afterAutospacing="1"/>
              <w:rPr>
                <w:color w:val="000000"/>
              </w:rPr>
            </w:pPr>
            <w:r>
              <w:rPr>
                <w:color w:val="000000"/>
                <w:sz w:val="27"/>
                <w:szCs w:val="27"/>
              </w:rPr>
              <w:t xml:space="preserve">Companies that are contracted with Centene must obtain Centene </w:t>
            </w:r>
            <w:r w:rsidR="008E69E6">
              <w:rPr>
                <w:color w:val="000000"/>
                <w:sz w:val="27"/>
                <w:szCs w:val="27"/>
              </w:rPr>
              <w:t xml:space="preserve">and CMS </w:t>
            </w:r>
            <w:proofErr w:type="gramStart"/>
            <w:r>
              <w:rPr>
                <w:color w:val="000000"/>
                <w:sz w:val="27"/>
                <w:szCs w:val="27"/>
              </w:rPr>
              <w:t>approval</w:t>
            </w:r>
            <w:proofErr w:type="gramEnd"/>
            <w:r>
              <w:rPr>
                <w:color w:val="000000"/>
                <w:sz w:val="27"/>
                <w:szCs w:val="27"/>
              </w:rPr>
              <w:t xml:space="preserve"> for </w:t>
            </w:r>
            <w:r w:rsidRPr="00B96568">
              <w:rPr>
                <w:color w:val="000000"/>
                <w:sz w:val="27"/>
                <w:szCs w:val="27"/>
              </w:rPr>
              <w:t xml:space="preserve">websites that meet any of the criteria listed in the Marketing Materials section above or obtain beneficiary information for the purposes of marketing and /or enrollment into a </w:t>
            </w:r>
            <w:r>
              <w:rPr>
                <w:color w:val="000000"/>
                <w:sz w:val="27"/>
                <w:szCs w:val="27"/>
              </w:rPr>
              <w:t>Centene</w:t>
            </w:r>
            <w:r w:rsidRPr="00B96568">
              <w:rPr>
                <w:color w:val="000000"/>
                <w:sz w:val="27"/>
                <w:szCs w:val="27"/>
              </w:rPr>
              <w:t xml:space="preserve"> plan</w:t>
            </w:r>
            <w:r>
              <w:rPr>
                <w:color w:val="000000"/>
                <w:sz w:val="27"/>
                <w:szCs w:val="27"/>
              </w:rPr>
              <w:t>.</w:t>
            </w:r>
            <w:r w:rsidRPr="00B96568">
              <w:rPr>
                <w:color w:val="000000"/>
                <w:sz w:val="27"/>
                <w:szCs w:val="27"/>
              </w:rPr>
              <w:t xml:space="preserve"> </w:t>
            </w:r>
            <w:r w:rsidR="00A4778D">
              <w:rPr>
                <w:color w:val="000000"/>
                <w:sz w:val="27"/>
                <w:szCs w:val="27"/>
              </w:rPr>
              <w:t xml:space="preserve"> All third party marketing websites must include a valid CMS material ID indicating acceptance or approval.</w:t>
            </w:r>
          </w:p>
          <w:p w:rsidR="0010744A" w:rsidRDefault="0010744A" w:rsidP="00181F4F">
            <w:pPr>
              <w:spacing w:before="100" w:beforeAutospacing="1" w:after="100" w:afterAutospacing="1"/>
              <w:rPr>
                <w:color w:val="000000"/>
                <w:sz w:val="27"/>
                <w:szCs w:val="27"/>
              </w:rPr>
            </w:pPr>
            <w:r w:rsidRPr="00B96568">
              <w:rPr>
                <w:color w:val="000000"/>
                <w:sz w:val="27"/>
                <w:szCs w:val="27"/>
              </w:rPr>
              <w:t xml:space="preserve">Websites used to market MA/MAPD </w:t>
            </w:r>
            <w:r w:rsidRPr="00B96568">
              <w:rPr>
                <w:b/>
                <w:bCs/>
                <w:color w:val="000000"/>
                <w:sz w:val="27"/>
                <w:szCs w:val="27"/>
                <w:u w:val="single"/>
              </w:rPr>
              <w:t>and</w:t>
            </w:r>
            <w:r w:rsidRPr="00B96568">
              <w:rPr>
                <w:color w:val="000000"/>
                <w:sz w:val="27"/>
                <w:szCs w:val="27"/>
              </w:rPr>
              <w:t xml:space="preserve"> Medicare Supplement plans, should ensure that there is an explanation that advises beneficiaries that information which is required to provide rates for some Med Supplement plans will not be used when providing plan and premium info for MA/MAPD or Part D plans.</w:t>
            </w:r>
          </w:p>
          <w:p w:rsidR="0010744A" w:rsidRPr="00B96568" w:rsidRDefault="0010744A" w:rsidP="00181F4F">
            <w:pPr>
              <w:spacing w:before="100" w:beforeAutospacing="1" w:after="100" w:afterAutospacing="1"/>
              <w:rPr>
                <w:color w:val="000000"/>
              </w:rPr>
            </w:pPr>
            <w:r>
              <w:rPr>
                <w:color w:val="000000"/>
                <w:sz w:val="27"/>
                <w:szCs w:val="27"/>
              </w:rPr>
              <w:t>Agents and Sales Entities that operate websites for marketing purposes must submit their websites to Centene for approval and submission to CMS.  Contact your AE, MM or Broker Services for additional information</w:t>
            </w:r>
            <w:r w:rsidR="008E69E6">
              <w:rPr>
                <w:color w:val="000000"/>
                <w:sz w:val="27"/>
                <w:szCs w:val="27"/>
              </w:rPr>
              <w:t>.</w:t>
            </w:r>
          </w:p>
          <w:p w:rsidR="00C57378" w:rsidRPr="00F73976" w:rsidRDefault="00C57378" w:rsidP="00F73976">
            <w:pPr>
              <w:spacing w:before="100" w:beforeAutospacing="1" w:after="100" w:afterAutospacing="1"/>
              <w:rPr>
                <w:color w:val="000000"/>
                <w:sz w:val="27"/>
                <w:szCs w:val="27"/>
              </w:rPr>
            </w:pPr>
          </w:p>
        </w:tc>
      </w:tr>
      <w:tr w:rsidR="0010744A" w:rsidRPr="00B96568" w:rsidTr="00EE5E5C">
        <w:trPr>
          <w:tblCellSpacing w:w="0" w:type="dxa"/>
        </w:trPr>
        <w:tc>
          <w:tcPr>
            <w:tcW w:w="10512" w:type="dxa"/>
            <w:hideMark/>
          </w:tcPr>
          <w:p w:rsidR="0010744A" w:rsidRPr="00B96568" w:rsidRDefault="0010744A" w:rsidP="00181F4F">
            <w:pPr>
              <w:rPr>
                <w:color w:val="000000"/>
              </w:rPr>
            </w:pPr>
          </w:p>
        </w:tc>
      </w:tr>
    </w:tbl>
    <w:p w:rsidR="00F44C40" w:rsidRPr="00161CAE" w:rsidRDefault="005E568C" w:rsidP="00685117">
      <w:pPr>
        <w:rPr>
          <w:rFonts w:ascii="Arial" w:hAnsi="Arial" w:cs="Arial"/>
          <w:bCs/>
          <w:smallCaps/>
        </w:rPr>
      </w:pPr>
      <w:r w:rsidRPr="00161CAE">
        <w:rPr>
          <w:rFonts w:ascii="Arial" w:hAnsi="Arial" w:cs="Arial"/>
          <w:bCs/>
          <w:smallCaps/>
        </w:rPr>
        <w:t xml:space="preserve">                                                                                                                                                         </w:t>
      </w:r>
    </w:p>
    <w:p w:rsidR="0018015F" w:rsidRPr="00161CAE" w:rsidRDefault="0018015F" w:rsidP="0018015F">
      <w:pPr>
        <w:jc w:val="center"/>
        <w:rPr>
          <w:rFonts w:ascii="Arial" w:hAnsi="Arial" w:cs="Arial"/>
        </w:rPr>
      </w:pPr>
    </w:p>
    <w:p w:rsidR="0018015F" w:rsidRPr="00161CAE" w:rsidRDefault="0018015F" w:rsidP="0018015F">
      <w:pPr>
        <w:pStyle w:val="Heading2"/>
        <w:rPr>
          <w:rFonts w:ascii="Arial" w:hAnsi="Arial" w:cs="Arial"/>
          <w:szCs w:val="24"/>
        </w:rPr>
      </w:pPr>
      <w:r w:rsidRPr="00161CAE">
        <w:rPr>
          <w:rFonts w:ascii="Arial" w:hAnsi="Arial" w:cs="Arial"/>
          <w:szCs w:val="24"/>
        </w:rPr>
        <w:t>REVISION LOG</w:t>
      </w:r>
    </w:p>
    <w:p w:rsidR="007851CC" w:rsidRPr="00161CAE" w:rsidRDefault="007851CC" w:rsidP="007851CC">
      <w:pPr>
        <w:rPr>
          <w:rFonts w:ascii="Arial" w:hAnsi="Arial" w:cs="Arial"/>
        </w:rPr>
      </w:pPr>
    </w:p>
    <w:p w:rsidR="00653459" w:rsidRPr="00161CAE" w:rsidRDefault="00645431" w:rsidP="0075583D">
      <w:pPr>
        <w:ind w:left="720"/>
        <w:rPr>
          <w:rFonts w:ascii="Arial" w:hAnsi="Arial" w:cs="Arial"/>
          <w:color w:val="FF0000"/>
        </w:rPr>
      </w:pPr>
      <w:r w:rsidRPr="00161CAE">
        <w:rPr>
          <w:rFonts w:ascii="Arial" w:hAnsi="Arial" w:cs="Arial"/>
          <w:color w:val="FF0000"/>
        </w:rPr>
        <w:t xml:space="preserve"> </w:t>
      </w:r>
    </w:p>
    <w:p w:rsidR="00645431" w:rsidRPr="00161CAE" w:rsidRDefault="00653459" w:rsidP="00653459">
      <w:pPr>
        <w:tabs>
          <w:tab w:val="left" w:pos="6874"/>
        </w:tabs>
        <w:rPr>
          <w:rFonts w:ascii="Arial" w:hAnsi="Arial" w:cs="Arial"/>
        </w:rPr>
      </w:pPr>
      <w:r w:rsidRPr="00161CAE">
        <w:rPr>
          <w:rFonts w:ascii="Arial" w:hAnsi="Arial" w:cs="Arial"/>
        </w:rPr>
        <w:tab/>
      </w:r>
    </w:p>
    <w:p w:rsidR="00161CAE" w:rsidRPr="00CE36C2" w:rsidRDefault="00161CAE" w:rsidP="00161CAE">
      <w:pPr>
        <w:pStyle w:val="Heading6"/>
        <w:tabs>
          <w:tab w:val="clear" w:pos="0"/>
        </w:tabs>
        <w:rPr>
          <w:rFonts w:ascii="Arial" w:hAnsi="Arial" w:cs="Arial"/>
        </w:rPr>
      </w:pPr>
      <w:r w:rsidRPr="00CE36C2">
        <w:rPr>
          <w:rFonts w:ascii="Arial" w:hAnsi="Arial" w:cs="Arial"/>
        </w:rPr>
        <w:t>POLICY AND PROCEDURE APPROVAL</w:t>
      </w:r>
    </w:p>
    <w:p w:rsidR="00161CAE" w:rsidRPr="00CE36C2" w:rsidRDefault="00161CAE" w:rsidP="00161CAE">
      <w:pPr>
        <w:rPr>
          <w:rFonts w:ascii="Arial" w:hAnsi="Arial" w:cs="Arial"/>
        </w:rPr>
      </w:pPr>
    </w:p>
    <w:p w:rsidR="00161CAE" w:rsidRPr="00CE36C2" w:rsidRDefault="00161CAE" w:rsidP="00161CAE">
      <w:pPr>
        <w:rPr>
          <w:rFonts w:ascii="Arial" w:hAnsi="Arial" w:cs="Arial"/>
        </w:rPr>
      </w:pPr>
      <w:r w:rsidRPr="00CE36C2">
        <w:rPr>
          <w:rFonts w:ascii="Arial" w:hAnsi="Arial" w:cs="Arial"/>
        </w:rPr>
        <w:t>The electronic approval retained in Compliance 360, Centene's P&amp;P management software, is considered equivalent to a signature.</w:t>
      </w:r>
    </w:p>
    <w:p w:rsidR="00161CAE" w:rsidRPr="00CE36C2" w:rsidRDefault="00161CAE" w:rsidP="00161CAE">
      <w:pPr>
        <w:rPr>
          <w:rFonts w:ascii="Arial" w:hAnsi="Arial" w:cs="Arial"/>
        </w:rPr>
      </w:pPr>
    </w:p>
    <w:p w:rsidR="00033C74" w:rsidRPr="00653459" w:rsidRDefault="00033C74">
      <w:pPr>
        <w:tabs>
          <w:tab w:val="left" w:pos="6874"/>
        </w:tabs>
        <w:rPr>
          <w:rFonts w:ascii="Bookman Old Style" w:hAnsi="Bookman Old Style"/>
        </w:rPr>
      </w:pPr>
    </w:p>
    <w:sectPr w:rsidR="00033C74" w:rsidRPr="00653459" w:rsidSect="0088552E">
      <w:type w:val="continuous"/>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56" w:rsidRDefault="00B70056">
      <w:r>
        <w:separator/>
      </w:r>
    </w:p>
  </w:endnote>
  <w:endnote w:type="continuationSeparator" w:id="0">
    <w:p w:rsidR="00B70056" w:rsidRDefault="00B7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6D" w:rsidRDefault="007F4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DC" w:rsidRPr="00F2299C" w:rsidRDefault="00F60BDC" w:rsidP="00E9721E">
    <w:pPr>
      <w:pStyle w:val="Footer"/>
      <w:jc w:val="right"/>
    </w:pPr>
    <w:r w:rsidRPr="00F2299C">
      <w:t xml:space="preserve">Page </w:t>
    </w:r>
    <w:r w:rsidRPr="00F2299C">
      <w:fldChar w:fldCharType="begin"/>
    </w:r>
    <w:r w:rsidRPr="00F2299C">
      <w:instrText xml:space="preserve"> PAGE  \* Arabic  \* MERGEFORMAT </w:instrText>
    </w:r>
    <w:r w:rsidRPr="00F2299C">
      <w:fldChar w:fldCharType="separate"/>
    </w:r>
    <w:r w:rsidR="00F25276">
      <w:rPr>
        <w:noProof/>
      </w:rPr>
      <w:t>1</w:t>
    </w:r>
    <w:r w:rsidRPr="00F2299C">
      <w:fldChar w:fldCharType="end"/>
    </w:r>
    <w:r w:rsidRPr="00F2299C">
      <w:t xml:space="preserve"> of </w:t>
    </w:r>
    <w:fldSimple w:instr=" NUMPAGES  \* Arabic  \* MERGEFORMAT ">
      <w:r w:rsidR="00F25276">
        <w:rPr>
          <w:noProof/>
        </w:rPr>
        <w:t>15</w:t>
      </w:r>
    </w:fldSimple>
  </w:p>
  <w:p w:rsidR="00F60BDC" w:rsidRPr="007C564E" w:rsidRDefault="00F60BDC">
    <w:pPr>
      <w:pStyle w:val="Footer"/>
      <w:rPr>
        <w:rFonts w:ascii="Tahoma" w:hAnsi="Tahoma"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6D" w:rsidRDefault="007F4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56" w:rsidRDefault="00B70056">
      <w:r>
        <w:separator/>
      </w:r>
    </w:p>
  </w:footnote>
  <w:footnote w:type="continuationSeparator" w:id="0">
    <w:p w:rsidR="00B70056" w:rsidRDefault="00B7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6D" w:rsidRDefault="007F4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DC" w:rsidRPr="00CE36C2" w:rsidRDefault="00F60BDC" w:rsidP="00E9721E">
    <w:pPr>
      <w:jc w:val="center"/>
      <w:rPr>
        <w:rFonts w:ascii="Arial" w:hAnsi="Arial" w:cs="Arial"/>
        <w:b/>
        <w:sz w:val="28"/>
      </w:rPr>
    </w:pPr>
    <w:r w:rsidRPr="00CE36C2">
      <w:rPr>
        <w:rFonts w:ascii="Arial" w:hAnsi="Arial" w:cs="Arial"/>
        <w:b/>
        <w:sz w:val="28"/>
      </w:rPr>
      <w:t>POLICY AND PROCEDURE</w:t>
    </w:r>
  </w:p>
  <w:p w:rsidR="00F60BDC" w:rsidRPr="00CE36C2" w:rsidRDefault="00F60BDC" w:rsidP="00E9721E">
    <w:pPr>
      <w:jc w:val="center"/>
      <w:rPr>
        <w:rFonts w:ascii="Arial" w:hAnsi="Arial" w:cs="Arial"/>
        <w:b/>
        <w:sz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220"/>
    </w:tblGrid>
    <w:tr w:rsidR="00F60BDC" w:rsidRPr="00CE36C2" w:rsidTr="00850801">
      <w:tc>
        <w:tcPr>
          <w:tcW w:w="4248" w:type="dxa"/>
        </w:tcPr>
        <w:p w:rsidR="00F60BDC" w:rsidRPr="00CE36C2" w:rsidRDefault="00F60BDC" w:rsidP="00E9721E">
          <w:pPr>
            <w:pStyle w:val="Header"/>
            <w:rPr>
              <w:rFonts w:ascii="Arial" w:hAnsi="Arial" w:cs="Arial"/>
              <w:b/>
            </w:rPr>
          </w:pPr>
          <w:r w:rsidRPr="00CE36C2">
            <w:rPr>
              <w:rFonts w:ascii="Arial" w:hAnsi="Arial" w:cs="Arial"/>
              <w:b/>
            </w:rPr>
            <w:t xml:space="preserve">DEPARTMENT: </w:t>
          </w:r>
          <w:r w:rsidR="0010744A">
            <w:rPr>
              <w:rFonts w:ascii="Arial" w:hAnsi="Arial" w:cs="Arial"/>
              <w:b/>
            </w:rPr>
            <w:t>Medicare Sales</w:t>
          </w:r>
        </w:p>
      </w:tc>
      <w:tc>
        <w:tcPr>
          <w:tcW w:w="5220" w:type="dxa"/>
        </w:tcPr>
        <w:p w:rsidR="00F60BDC" w:rsidRPr="00CE36C2" w:rsidRDefault="00F60BDC" w:rsidP="00E9721E">
          <w:pPr>
            <w:pStyle w:val="Header"/>
            <w:rPr>
              <w:rFonts w:ascii="Arial" w:hAnsi="Arial" w:cs="Arial"/>
              <w:b/>
            </w:rPr>
          </w:pPr>
          <w:r>
            <w:rPr>
              <w:rFonts w:ascii="Arial" w:hAnsi="Arial" w:cs="Arial"/>
              <w:b/>
            </w:rPr>
            <w:t>REFERENCE NUMBER:</w:t>
          </w:r>
          <w:r w:rsidR="0010744A">
            <w:rPr>
              <w:rFonts w:ascii="Arial" w:hAnsi="Arial" w:cs="Arial"/>
              <w:b/>
            </w:rPr>
            <w:t xml:space="preserve"> </w:t>
          </w:r>
          <w:r w:rsidR="00824BF4">
            <w:rPr>
              <w:rFonts w:ascii="Arial" w:hAnsi="Arial" w:cs="Arial"/>
              <w:b/>
            </w:rPr>
            <w:t>MCARE.SALES.</w:t>
          </w:r>
          <w:r w:rsidR="007D7185">
            <w:rPr>
              <w:rFonts w:ascii="Arial" w:hAnsi="Arial" w:cs="Arial"/>
              <w:b/>
            </w:rPr>
            <w:t>03</w:t>
          </w:r>
          <w:r w:rsidR="007F436D">
            <w:rPr>
              <w:rFonts w:ascii="Arial" w:hAnsi="Arial" w:cs="Arial"/>
              <w:b/>
            </w:rPr>
            <w:t>5</w:t>
          </w:r>
        </w:p>
      </w:tc>
    </w:tr>
    <w:tr w:rsidR="00F60BDC" w:rsidRPr="00CE36C2" w:rsidTr="00850801">
      <w:tc>
        <w:tcPr>
          <w:tcW w:w="4248" w:type="dxa"/>
        </w:tcPr>
        <w:p w:rsidR="00F60BDC" w:rsidRPr="00CE36C2" w:rsidRDefault="00F60BDC" w:rsidP="001A5527">
          <w:pPr>
            <w:pStyle w:val="Header"/>
            <w:rPr>
              <w:rFonts w:ascii="Arial" w:hAnsi="Arial" w:cs="Arial"/>
              <w:b/>
            </w:rPr>
          </w:pPr>
          <w:r>
            <w:rPr>
              <w:rFonts w:ascii="Arial" w:hAnsi="Arial" w:cs="Arial"/>
              <w:b/>
            </w:rPr>
            <w:t>EFFECTIVE DATE:</w:t>
          </w:r>
          <w:r w:rsidR="0010744A">
            <w:rPr>
              <w:rFonts w:ascii="Arial" w:hAnsi="Arial" w:cs="Arial"/>
              <w:b/>
            </w:rPr>
            <w:t xml:space="preserve"> </w:t>
          </w:r>
          <w:r w:rsidR="007D7185">
            <w:rPr>
              <w:rFonts w:ascii="Arial" w:hAnsi="Arial" w:cs="Arial"/>
              <w:b/>
            </w:rPr>
            <w:t>09/20</w:t>
          </w:r>
          <w:r w:rsidR="001A5527">
            <w:rPr>
              <w:rFonts w:ascii="Arial" w:hAnsi="Arial" w:cs="Arial"/>
              <w:b/>
            </w:rPr>
            <w:t>/2018</w:t>
          </w:r>
        </w:p>
      </w:tc>
      <w:tc>
        <w:tcPr>
          <w:tcW w:w="5220" w:type="dxa"/>
        </w:tcPr>
        <w:p w:rsidR="00F60BDC" w:rsidRPr="00CE36C2" w:rsidRDefault="00F60BDC" w:rsidP="00184FC5">
          <w:pPr>
            <w:pStyle w:val="Header"/>
            <w:rPr>
              <w:rFonts w:ascii="Arial" w:hAnsi="Arial" w:cs="Arial"/>
            </w:rPr>
          </w:pPr>
          <w:r>
            <w:rPr>
              <w:rFonts w:ascii="Arial" w:hAnsi="Arial" w:cs="Arial"/>
              <w:b/>
            </w:rPr>
            <w:t>POLICY NAME:</w:t>
          </w:r>
          <w:r w:rsidRPr="00CE36C2">
            <w:rPr>
              <w:rFonts w:ascii="Arial" w:hAnsi="Arial" w:cs="Arial"/>
              <w:b/>
            </w:rPr>
            <w:t xml:space="preserve"> </w:t>
          </w:r>
          <w:r w:rsidR="0010744A" w:rsidRPr="0010744A">
            <w:rPr>
              <w:rFonts w:ascii="Arial" w:hAnsi="Arial" w:cs="Arial"/>
              <w:b/>
            </w:rPr>
            <w:t xml:space="preserve">Medicare Sales Agent Activities </w:t>
          </w:r>
        </w:p>
      </w:tc>
    </w:tr>
    <w:tr w:rsidR="00F60BDC" w:rsidRPr="00CE36C2" w:rsidTr="00850801">
      <w:tc>
        <w:tcPr>
          <w:tcW w:w="4248" w:type="dxa"/>
        </w:tcPr>
        <w:p w:rsidR="00F60BDC" w:rsidRPr="00CE36C2" w:rsidRDefault="00F60BDC" w:rsidP="00C57378">
          <w:pPr>
            <w:pStyle w:val="Header"/>
            <w:rPr>
              <w:rFonts w:ascii="Arial" w:hAnsi="Arial" w:cs="Arial"/>
            </w:rPr>
          </w:pPr>
          <w:r w:rsidRPr="00CE36C2">
            <w:rPr>
              <w:rFonts w:ascii="Arial" w:hAnsi="Arial" w:cs="Arial"/>
              <w:b/>
            </w:rPr>
            <w:t>REVIEWED/REVISED</w:t>
          </w:r>
          <w:r>
            <w:rPr>
              <w:rFonts w:ascii="Arial" w:hAnsi="Arial" w:cs="Arial"/>
              <w:b/>
            </w:rPr>
            <w:t xml:space="preserve"> DATE</w:t>
          </w:r>
          <w:r w:rsidRPr="00CE36C2">
            <w:rPr>
              <w:rFonts w:ascii="Arial" w:hAnsi="Arial" w:cs="Arial"/>
              <w:b/>
            </w:rPr>
            <w:t>:</w:t>
          </w:r>
          <w:r w:rsidR="0010744A">
            <w:rPr>
              <w:rFonts w:ascii="Arial" w:hAnsi="Arial" w:cs="Arial"/>
              <w:b/>
            </w:rPr>
            <w:t xml:space="preserve"> </w:t>
          </w:r>
          <w:r w:rsidR="007D7185">
            <w:rPr>
              <w:rFonts w:ascii="Arial" w:hAnsi="Arial" w:cs="Arial"/>
              <w:b/>
            </w:rPr>
            <w:t>09/20/</w:t>
          </w:r>
          <w:r w:rsidR="001A5527">
            <w:rPr>
              <w:rFonts w:ascii="Arial" w:hAnsi="Arial" w:cs="Arial"/>
              <w:b/>
            </w:rPr>
            <w:t>2</w:t>
          </w:r>
          <w:r w:rsidR="007D7185">
            <w:rPr>
              <w:rFonts w:ascii="Arial" w:hAnsi="Arial" w:cs="Arial"/>
              <w:b/>
            </w:rPr>
            <w:t>0</w:t>
          </w:r>
          <w:r w:rsidR="001A5527">
            <w:rPr>
              <w:rFonts w:ascii="Arial" w:hAnsi="Arial" w:cs="Arial"/>
              <w:b/>
            </w:rPr>
            <w:t>18</w:t>
          </w:r>
        </w:p>
      </w:tc>
      <w:tc>
        <w:tcPr>
          <w:tcW w:w="5220" w:type="dxa"/>
        </w:tcPr>
        <w:p w:rsidR="00F60BDC" w:rsidRPr="00CE36C2" w:rsidRDefault="00F60BDC" w:rsidP="00E9721E">
          <w:pPr>
            <w:pStyle w:val="Header"/>
            <w:rPr>
              <w:rFonts w:ascii="Arial" w:hAnsi="Arial" w:cs="Arial"/>
            </w:rPr>
          </w:pPr>
          <w:r w:rsidRPr="00CE36C2">
            <w:rPr>
              <w:rFonts w:ascii="Arial" w:hAnsi="Arial" w:cs="Arial"/>
              <w:b/>
            </w:rPr>
            <w:t>RETIRED</w:t>
          </w:r>
          <w:r>
            <w:rPr>
              <w:rFonts w:ascii="Arial" w:hAnsi="Arial" w:cs="Arial"/>
              <w:b/>
            </w:rPr>
            <w:t xml:space="preserve"> DATE</w:t>
          </w:r>
          <w:r w:rsidRPr="00CE36C2">
            <w:rPr>
              <w:rFonts w:ascii="Arial" w:hAnsi="Arial" w:cs="Arial"/>
              <w:b/>
            </w:rPr>
            <w:t xml:space="preserve">: </w:t>
          </w:r>
          <w:r>
            <w:rPr>
              <w:rFonts w:ascii="Arial" w:hAnsi="Arial" w:cs="Arial"/>
              <w:b/>
            </w:rPr>
            <w:t>N/A</w:t>
          </w:r>
        </w:p>
      </w:tc>
    </w:tr>
  </w:tbl>
  <w:p w:rsidR="00F60BDC" w:rsidRPr="00CE36C2" w:rsidRDefault="00F60BDC" w:rsidP="00E9721E">
    <w:pPr>
      <w:pStyle w:val="Header"/>
      <w:rPr>
        <w:rFonts w:ascii="Arial" w:hAnsi="Arial" w:cs="Arial"/>
      </w:rPr>
    </w:pPr>
  </w:p>
  <w:p w:rsidR="00F60BDC" w:rsidRPr="00E9721E" w:rsidRDefault="00F60BDC" w:rsidP="00E97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6D" w:rsidRDefault="007F4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B93"/>
    <w:multiLevelType w:val="hybridMultilevel"/>
    <w:tmpl w:val="10944808"/>
    <w:lvl w:ilvl="0" w:tplc="83E2EDDC">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807ED"/>
    <w:multiLevelType w:val="multilevel"/>
    <w:tmpl w:val="64AE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B25EC"/>
    <w:multiLevelType w:val="hybridMultilevel"/>
    <w:tmpl w:val="0E7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97B16"/>
    <w:multiLevelType w:val="multilevel"/>
    <w:tmpl w:val="7BE4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DD043C"/>
    <w:multiLevelType w:val="hybridMultilevel"/>
    <w:tmpl w:val="61C6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A0B3C"/>
    <w:multiLevelType w:val="multilevel"/>
    <w:tmpl w:val="6B5E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E74836"/>
    <w:multiLevelType w:val="hybridMultilevel"/>
    <w:tmpl w:val="098EEB52"/>
    <w:lvl w:ilvl="0" w:tplc="DEA4C1E4">
      <w:start w:val="1"/>
      <w:numFmt w:val="lowerLetter"/>
      <w:lvlText w:val="%1."/>
      <w:lvlJc w:val="left"/>
      <w:pPr>
        <w:tabs>
          <w:tab w:val="num" w:pos="3285"/>
        </w:tabs>
        <w:ind w:left="3285" w:hanging="360"/>
      </w:pPr>
      <w:rPr>
        <w:rFonts w:hint="default"/>
      </w:rPr>
    </w:lvl>
    <w:lvl w:ilvl="1" w:tplc="04090019">
      <w:start w:val="1"/>
      <w:numFmt w:val="lowerLetter"/>
      <w:lvlText w:val="%2."/>
      <w:lvlJc w:val="left"/>
      <w:pPr>
        <w:tabs>
          <w:tab w:val="num" w:pos="2925"/>
        </w:tabs>
        <w:ind w:left="2925" w:hanging="360"/>
      </w:p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7">
    <w:nsid w:val="0E3F2D56"/>
    <w:multiLevelType w:val="multilevel"/>
    <w:tmpl w:val="D4E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EC5C69"/>
    <w:multiLevelType w:val="hybridMultilevel"/>
    <w:tmpl w:val="CE4CEA0C"/>
    <w:lvl w:ilvl="0" w:tplc="F2DA2CA6">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C34652"/>
    <w:multiLevelType w:val="multilevel"/>
    <w:tmpl w:val="0368080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1AF73AE3"/>
    <w:multiLevelType w:val="hybridMultilevel"/>
    <w:tmpl w:val="CB144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60C90"/>
    <w:multiLevelType w:val="multilevel"/>
    <w:tmpl w:val="401E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3B05D0"/>
    <w:multiLevelType w:val="multilevel"/>
    <w:tmpl w:val="770C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5C0A0F"/>
    <w:multiLevelType w:val="multilevel"/>
    <w:tmpl w:val="1E92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6E4E12"/>
    <w:multiLevelType w:val="multilevel"/>
    <w:tmpl w:val="1E60B0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20CE2708"/>
    <w:multiLevelType w:val="multilevel"/>
    <w:tmpl w:val="18EC9A9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29236983"/>
    <w:multiLevelType w:val="multilevel"/>
    <w:tmpl w:val="A82C53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2A58A0"/>
    <w:multiLevelType w:val="multilevel"/>
    <w:tmpl w:val="98A4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006F5D"/>
    <w:multiLevelType w:val="hybridMultilevel"/>
    <w:tmpl w:val="65D89B7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0D51CBE"/>
    <w:multiLevelType w:val="hybridMultilevel"/>
    <w:tmpl w:val="A7A63754"/>
    <w:lvl w:ilvl="0" w:tplc="83E2EDDC">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56332E"/>
    <w:multiLevelType w:val="multilevel"/>
    <w:tmpl w:val="548857A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37DA760C"/>
    <w:multiLevelType w:val="multilevel"/>
    <w:tmpl w:val="D49E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252FF1"/>
    <w:multiLevelType w:val="multilevel"/>
    <w:tmpl w:val="576C2968"/>
    <w:lvl w:ilvl="0">
      <w:start w:val="9"/>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A1007D"/>
    <w:multiLevelType w:val="hybridMultilevel"/>
    <w:tmpl w:val="D2A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156CF"/>
    <w:multiLevelType w:val="hybridMultilevel"/>
    <w:tmpl w:val="F9165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5401A"/>
    <w:multiLevelType w:val="hybridMultilevel"/>
    <w:tmpl w:val="312E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33367"/>
    <w:multiLevelType w:val="hybridMultilevel"/>
    <w:tmpl w:val="6FE0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F5AAE"/>
    <w:multiLevelType w:val="hybridMultilevel"/>
    <w:tmpl w:val="342A7BEE"/>
    <w:lvl w:ilvl="0" w:tplc="A22854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3249B1"/>
    <w:multiLevelType w:val="multilevel"/>
    <w:tmpl w:val="88FCBDA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nsid w:val="545E5262"/>
    <w:multiLevelType w:val="hybridMultilevel"/>
    <w:tmpl w:val="6598FB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D955F4"/>
    <w:multiLevelType w:val="multilevel"/>
    <w:tmpl w:val="65D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7B13DD"/>
    <w:multiLevelType w:val="multilevel"/>
    <w:tmpl w:val="6746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D584F33"/>
    <w:multiLevelType w:val="multilevel"/>
    <w:tmpl w:val="D09A3CEC"/>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5FDB2088"/>
    <w:multiLevelType w:val="multilevel"/>
    <w:tmpl w:val="8554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1D85BA3"/>
    <w:multiLevelType w:val="multilevel"/>
    <w:tmpl w:val="474C93D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68876060"/>
    <w:multiLevelType w:val="multilevel"/>
    <w:tmpl w:val="028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0C0F74"/>
    <w:multiLevelType w:val="hybridMultilevel"/>
    <w:tmpl w:val="5F66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16FB6"/>
    <w:multiLevelType w:val="multilevel"/>
    <w:tmpl w:val="CC8A7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6920AC"/>
    <w:multiLevelType w:val="multilevel"/>
    <w:tmpl w:val="CE4CEA0C"/>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6A031C4"/>
    <w:multiLevelType w:val="hybridMultilevel"/>
    <w:tmpl w:val="F8BA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A82B90"/>
    <w:multiLevelType w:val="multilevel"/>
    <w:tmpl w:val="FFF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43233A"/>
    <w:multiLevelType w:val="multilevel"/>
    <w:tmpl w:val="88FCBDA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7DD3563E"/>
    <w:multiLevelType w:val="hybridMultilevel"/>
    <w:tmpl w:val="9BAE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865C1"/>
    <w:multiLevelType w:val="multilevel"/>
    <w:tmpl w:val="D100A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41"/>
  </w:num>
  <w:num w:numId="3">
    <w:abstractNumId w:val="28"/>
  </w:num>
  <w:num w:numId="4">
    <w:abstractNumId w:val="34"/>
  </w:num>
  <w:num w:numId="5">
    <w:abstractNumId w:val="19"/>
  </w:num>
  <w:num w:numId="6">
    <w:abstractNumId w:val="0"/>
  </w:num>
  <w:num w:numId="7">
    <w:abstractNumId w:val="32"/>
  </w:num>
  <w:num w:numId="8">
    <w:abstractNumId w:val="22"/>
  </w:num>
  <w:num w:numId="9">
    <w:abstractNumId w:val="14"/>
  </w:num>
  <w:num w:numId="10">
    <w:abstractNumId w:val="9"/>
  </w:num>
  <w:num w:numId="11">
    <w:abstractNumId w:val="15"/>
  </w:num>
  <w:num w:numId="12">
    <w:abstractNumId w:val="20"/>
  </w:num>
  <w:num w:numId="13">
    <w:abstractNumId w:val="29"/>
  </w:num>
  <w:num w:numId="14">
    <w:abstractNumId w:val="6"/>
  </w:num>
  <w:num w:numId="15">
    <w:abstractNumId w:val="8"/>
  </w:num>
  <w:num w:numId="16">
    <w:abstractNumId w:val="38"/>
  </w:num>
  <w:num w:numId="17">
    <w:abstractNumId w:val="10"/>
  </w:num>
  <w:num w:numId="18">
    <w:abstractNumId w:val="24"/>
  </w:num>
  <w:num w:numId="19">
    <w:abstractNumId w:val="37"/>
  </w:num>
  <w:num w:numId="20">
    <w:abstractNumId w:val="7"/>
  </w:num>
  <w:num w:numId="21">
    <w:abstractNumId w:val="35"/>
  </w:num>
  <w:num w:numId="22">
    <w:abstractNumId w:val="31"/>
  </w:num>
  <w:num w:numId="23">
    <w:abstractNumId w:val="40"/>
  </w:num>
  <w:num w:numId="24">
    <w:abstractNumId w:val="21"/>
  </w:num>
  <w:num w:numId="25">
    <w:abstractNumId w:val="1"/>
  </w:num>
  <w:num w:numId="26">
    <w:abstractNumId w:val="13"/>
  </w:num>
  <w:num w:numId="27">
    <w:abstractNumId w:val="11"/>
  </w:num>
  <w:num w:numId="28">
    <w:abstractNumId w:val="17"/>
  </w:num>
  <w:num w:numId="29">
    <w:abstractNumId w:val="3"/>
  </w:num>
  <w:num w:numId="30">
    <w:abstractNumId w:val="43"/>
  </w:num>
  <w:num w:numId="31">
    <w:abstractNumId w:val="12"/>
  </w:num>
  <w:num w:numId="32">
    <w:abstractNumId w:val="16"/>
  </w:num>
  <w:num w:numId="33">
    <w:abstractNumId w:val="5"/>
  </w:num>
  <w:num w:numId="34">
    <w:abstractNumId w:val="30"/>
  </w:num>
  <w:num w:numId="35">
    <w:abstractNumId w:val="33"/>
  </w:num>
  <w:num w:numId="36">
    <w:abstractNumId w:val="18"/>
  </w:num>
  <w:num w:numId="37">
    <w:abstractNumId w:val="33"/>
  </w:num>
  <w:num w:numId="38">
    <w:abstractNumId w:val="42"/>
  </w:num>
  <w:num w:numId="39">
    <w:abstractNumId w:val="36"/>
  </w:num>
  <w:num w:numId="40">
    <w:abstractNumId w:val="2"/>
  </w:num>
  <w:num w:numId="41">
    <w:abstractNumId w:val="25"/>
  </w:num>
  <w:num w:numId="42">
    <w:abstractNumId w:val="26"/>
  </w:num>
  <w:num w:numId="43">
    <w:abstractNumId w:val="23"/>
  </w:num>
  <w:num w:numId="44">
    <w:abstractNumId w:val="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61"/>
    <w:rsid w:val="000053F7"/>
    <w:rsid w:val="0000653C"/>
    <w:rsid w:val="00016C54"/>
    <w:rsid w:val="00033C74"/>
    <w:rsid w:val="00044A3E"/>
    <w:rsid w:val="0005232D"/>
    <w:rsid w:val="00057BC8"/>
    <w:rsid w:val="00060DF6"/>
    <w:rsid w:val="0006404D"/>
    <w:rsid w:val="00064B18"/>
    <w:rsid w:val="00076CFD"/>
    <w:rsid w:val="00077981"/>
    <w:rsid w:val="00084182"/>
    <w:rsid w:val="00093170"/>
    <w:rsid w:val="000947D0"/>
    <w:rsid w:val="000973A5"/>
    <w:rsid w:val="000C0618"/>
    <w:rsid w:val="000C1C08"/>
    <w:rsid w:val="000D4214"/>
    <w:rsid w:val="000E3369"/>
    <w:rsid w:val="0010744A"/>
    <w:rsid w:val="00142A6C"/>
    <w:rsid w:val="00156388"/>
    <w:rsid w:val="001578BE"/>
    <w:rsid w:val="00161CAE"/>
    <w:rsid w:val="001800F0"/>
    <w:rsid w:val="0018015F"/>
    <w:rsid w:val="00184FC5"/>
    <w:rsid w:val="00193BDD"/>
    <w:rsid w:val="001A5527"/>
    <w:rsid w:val="001A65D3"/>
    <w:rsid w:val="001D01B2"/>
    <w:rsid w:val="001E5BB1"/>
    <w:rsid w:val="00214002"/>
    <w:rsid w:val="00217235"/>
    <w:rsid w:val="00220F4A"/>
    <w:rsid w:val="00222CC9"/>
    <w:rsid w:val="00232F23"/>
    <w:rsid w:val="002378EA"/>
    <w:rsid w:val="00251315"/>
    <w:rsid w:val="00271C89"/>
    <w:rsid w:val="00292FB4"/>
    <w:rsid w:val="002B2CDB"/>
    <w:rsid w:val="002C7CAC"/>
    <w:rsid w:val="002C7F88"/>
    <w:rsid w:val="002D1574"/>
    <w:rsid w:val="002D6C48"/>
    <w:rsid w:val="002E7749"/>
    <w:rsid w:val="002F294A"/>
    <w:rsid w:val="002F45E9"/>
    <w:rsid w:val="00310B09"/>
    <w:rsid w:val="00316243"/>
    <w:rsid w:val="003479B4"/>
    <w:rsid w:val="00357F4B"/>
    <w:rsid w:val="003618CB"/>
    <w:rsid w:val="00362063"/>
    <w:rsid w:val="003708FE"/>
    <w:rsid w:val="00370C82"/>
    <w:rsid w:val="00390864"/>
    <w:rsid w:val="003B77D4"/>
    <w:rsid w:val="003C237D"/>
    <w:rsid w:val="003D4456"/>
    <w:rsid w:val="00407709"/>
    <w:rsid w:val="00413E85"/>
    <w:rsid w:val="004156E6"/>
    <w:rsid w:val="00415D6B"/>
    <w:rsid w:val="0042293A"/>
    <w:rsid w:val="00430C4D"/>
    <w:rsid w:val="00443E4E"/>
    <w:rsid w:val="004508CF"/>
    <w:rsid w:val="00455C5D"/>
    <w:rsid w:val="00462DA0"/>
    <w:rsid w:val="004714E8"/>
    <w:rsid w:val="00473CD3"/>
    <w:rsid w:val="00483AF0"/>
    <w:rsid w:val="00484F5B"/>
    <w:rsid w:val="004A2443"/>
    <w:rsid w:val="004B670B"/>
    <w:rsid w:val="004C4A1F"/>
    <w:rsid w:val="004D25B9"/>
    <w:rsid w:val="004E6952"/>
    <w:rsid w:val="004F7F45"/>
    <w:rsid w:val="00510E9D"/>
    <w:rsid w:val="00512117"/>
    <w:rsid w:val="00531522"/>
    <w:rsid w:val="00546104"/>
    <w:rsid w:val="00574ED9"/>
    <w:rsid w:val="00593BD3"/>
    <w:rsid w:val="00593CFF"/>
    <w:rsid w:val="005957E4"/>
    <w:rsid w:val="005A4589"/>
    <w:rsid w:val="005B4F2E"/>
    <w:rsid w:val="005C4F06"/>
    <w:rsid w:val="005D7AF8"/>
    <w:rsid w:val="005E094A"/>
    <w:rsid w:val="005E568C"/>
    <w:rsid w:val="005F6D89"/>
    <w:rsid w:val="00603271"/>
    <w:rsid w:val="00622098"/>
    <w:rsid w:val="00633E55"/>
    <w:rsid w:val="00645431"/>
    <w:rsid w:val="00653459"/>
    <w:rsid w:val="006654A5"/>
    <w:rsid w:val="00665D17"/>
    <w:rsid w:val="00666DAA"/>
    <w:rsid w:val="00685027"/>
    <w:rsid w:val="00685117"/>
    <w:rsid w:val="0069581C"/>
    <w:rsid w:val="0069598C"/>
    <w:rsid w:val="006C3D13"/>
    <w:rsid w:val="006D0CEE"/>
    <w:rsid w:val="006E6C67"/>
    <w:rsid w:val="00700595"/>
    <w:rsid w:val="0071722F"/>
    <w:rsid w:val="007229AC"/>
    <w:rsid w:val="00750F54"/>
    <w:rsid w:val="0075407D"/>
    <w:rsid w:val="0075583D"/>
    <w:rsid w:val="00760311"/>
    <w:rsid w:val="007636DB"/>
    <w:rsid w:val="007652F7"/>
    <w:rsid w:val="00765F2E"/>
    <w:rsid w:val="007828A9"/>
    <w:rsid w:val="007851CC"/>
    <w:rsid w:val="007B0651"/>
    <w:rsid w:val="007C337C"/>
    <w:rsid w:val="007C74BD"/>
    <w:rsid w:val="007D7185"/>
    <w:rsid w:val="007E6675"/>
    <w:rsid w:val="007F0498"/>
    <w:rsid w:val="007F436D"/>
    <w:rsid w:val="007F4854"/>
    <w:rsid w:val="007F5022"/>
    <w:rsid w:val="0080249C"/>
    <w:rsid w:val="00817234"/>
    <w:rsid w:val="00824BF4"/>
    <w:rsid w:val="00834E17"/>
    <w:rsid w:val="00835DEC"/>
    <w:rsid w:val="00850801"/>
    <w:rsid w:val="00863E61"/>
    <w:rsid w:val="008672E3"/>
    <w:rsid w:val="008772CE"/>
    <w:rsid w:val="00880D71"/>
    <w:rsid w:val="00883D1D"/>
    <w:rsid w:val="0088473B"/>
    <w:rsid w:val="0088552E"/>
    <w:rsid w:val="0088679E"/>
    <w:rsid w:val="008A1A01"/>
    <w:rsid w:val="008B62B8"/>
    <w:rsid w:val="008B6B54"/>
    <w:rsid w:val="008B7807"/>
    <w:rsid w:val="008D1653"/>
    <w:rsid w:val="008E69E6"/>
    <w:rsid w:val="008F3038"/>
    <w:rsid w:val="008F6C51"/>
    <w:rsid w:val="009011C0"/>
    <w:rsid w:val="009062EA"/>
    <w:rsid w:val="00923346"/>
    <w:rsid w:val="009448CA"/>
    <w:rsid w:val="0097254B"/>
    <w:rsid w:val="00995FCA"/>
    <w:rsid w:val="009C02AB"/>
    <w:rsid w:val="009F11FE"/>
    <w:rsid w:val="00A036A2"/>
    <w:rsid w:val="00A0522B"/>
    <w:rsid w:val="00A0562B"/>
    <w:rsid w:val="00A133F0"/>
    <w:rsid w:val="00A1691B"/>
    <w:rsid w:val="00A174DF"/>
    <w:rsid w:val="00A20224"/>
    <w:rsid w:val="00A4778D"/>
    <w:rsid w:val="00A6502B"/>
    <w:rsid w:val="00A91DC1"/>
    <w:rsid w:val="00A91E07"/>
    <w:rsid w:val="00AA645A"/>
    <w:rsid w:val="00AA7909"/>
    <w:rsid w:val="00AB41D0"/>
    <w:rsid w:val="00AC40D2"/>
    <w:rsid w:val="00AC6552"/>
    <w:rsid w:val="00AD2A15"/>
    <w:rsid w:val="00AD6317"/>
    <w:rsid w:val="00AF0438"/>
    <w:rsid w:val="00B043D3"/>
    <w:rsid w:val="00B203E8"/>
    <w:rsid w:val="00B3625D"/>
    <w:rsid w:val="00B36F6C"/>
    <w:rsid w:val="00B370E2"/>
    <w:rsid w:val="00B40878"/>
    <w:rsid w:val="00B454B3"/>
    <w:rsid w:val="00B6461E"/>
    <w:rsid w:val="00B64910"/>
    <w:rsid w:val="00B70056"/>
    <w:rsid w:val="00B77BB5"/>
    <w:rsid w:val="00B843C6"/>
    <w:rsid w:val="00B90F27"/>
    <w:rsid w:val="00B923A7"/>
    <w:rsid w:val="00B9779F"/>
    <w:rsid w:val="00BA74A8"/>
    <w:rsid w:val="00BB67DB"/>
    <w:rsid w:val="00BC435C"/>
    <w:rsid w:val="00BC72CD"/>
    <w:rsid w:val="00BD1293"/>
    <w:rsid w:val="00BD4971"/>
    <w:rsid w:val="00BF5DC8"/>
    <w:rsid w:val="00C007FB"/>
    <w:rsid w:val="00C14859"/>
    <w:rsid w:val="00C3041E"/>
    <w:rsid w:val="00C45A02"/>
    <w:rsid w:val="00C55106"/>
    <w:rsid w:val="00C57378"/>
    <w:rsid w:val="00C756AD"/>
    <w:rsid w:val="00C8257E"/>
    <w:rsid w:val="00C83326"/>
    <w:rsid w:val="00C97A7F"/>
    <w:rsid w:val="00C97C44"/>
    <w:rsid w:val="00CA10D1"/>
    <w:rsid w:val="00CA618D"/>
    <w:rsid w:val="00CB14F3"/>
    <w:rsid w:val="00CC321A"/>
    <w:rsid w:val="00CD2F1E"/>
    <w:rsid w:val="00CD761C"/>
    <w:rsid w:val="00CE19F6"/>
    <w:rsid w:val="00CF1147"/>
    <w:rsid w:val="00CF7AA4"/>
    <w:rsid w:val="00D01682"/>
    <w:rsid w:val="00D21324"/>
    <w:rsid w:val="00D25A8B"/>
    <w:rsid w:val="00D30180"/>
    <w:rsid w:val="00D326EB"/>
    <w:rsid w:val="00D54111"/>
    <w:rsid w:val="00D7323E"/>
    <w:rsid w:val="00D73FF5"/>
    <w:rsid w:val="00DA660D"/>
    <w:rsid w:val="00DC3F45"/>
    <w:rsid w:val="00DC4699"/>
    <w:rsid w:val="00DD799F"/>
    <w:rsid w:val="00DE69AE"/>
    <w:rsid w:val="00DF4B94"/>
    <w:rsid w:val="00E000F7"/>
    <w:rsid w:val="00E04728"/>
    <w:rsid w:val="00E167ED"/>
    <w:rsid w:val="00E306A1"/>
    <w:rsid w:val="00E40B8C"/>
    <w:rsid w:val="00E4528C"/>
    <w:rsid w:val="00E62673"/>
    <w:rsid w:val="00E74491"/>
    <w:rsid w:val="00E752C4"/>
    <w:rsid w:val="00E77F0C"/>
    <w:rsid w:val="00E82CEF"/>
    <w:rsid w:val="00E9721E"/>
    <w:rsid w:val="00EA3D95"/>
    <w:rsid w:val="00EB1753"/>
    <w:rsid w:val="00EB1E4C"/>
    <w:rsid w:val="00EB2F75"/>
    <w:rsid w:val="00EC3B01"/>
    <w:rsid w:val="00EE5951"/>
    <w:rsid w:val="00EE5E5C"/>
    <w:rsid w:val="00EF107D"/>
    <w:rsid w:val="00EF680E"/>
    <w:rsid w:val="00F042E2"/>
    <w:rsid w:val="00F1228F"/>
    <w:rsid w:val="00F132E1"/>
    <w:rsid w:val="00F2299C"/>
    <w:rsid w:val="00F2461E"/>
    <w:rsid w:val="00F25276"/>
    <w:rsid w:val="00F258FF"/>
    <w:rsid w:val="00F31888"/>
    <w:rsid w:val="00F36D2F"/>
    <w:rsid w:val="00F3709C"/>
    <w:rsid w:val="00F44C40"/>
    <w:rsid w:val="00F537BA"/>
    <w:rsid w:val="00F60BDC"/>
    <w:rsid w:val="00F60DB2"/>
    <w:rsid w:val="00F63AFD"/>
    <w:rsid w:val="00F73976"/>
    <w:rsid w:val="00FA0E78"/>
    <w:rsid w:val="00FA5FD4"/>
    <w:rsid w:val="00FD21A7"/>
    <w:rsid w:val="00FD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C1C08"/>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Bookman Old Style" w:hAnsi="Bookman Old Style"/>
      <w:b/>
      <w:szCs w:val="20"/>
      <w:u w:val="single"/>
    </w:rPr>
  </w:style>
  <w:style w:type="paragraph" w:styleId="Heading3">
    <w:name w:val="heading 3"/>
    <w:basedOn w:val="Normal"/>
    <w:next w:val="Normal"/>
    <w:qFormat/>
    <w:pPr>
      <w:keepNext/>
      <w:outlineLvl w:val="2"/>
    </w:pPr>
    <w:rPr>
      <w:szCs w:val="20"/>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link w:val="Heading6Char"/>
    <w:qFormat/>
    <w:pPr>
      <w:keepNext/>
      <w:tabs>
        <w:tab w:val="num" w:pos="0"/>
      </w:tabs>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2700"/>
        <w:tab w:val="left" w:pos="2970"/>
      </w:tabs>
      <w:ind w:left="2790" w:hanging="540"/>
    </w:pPr>
    <w:rPr>
      <w:rFonts w:ascii="Bookman Old Style" w:hAnsi="Bookman Old Style"/>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0C1C08"/>
  </w:style>
  <w:style w:type="paragraph" w:styleId="NormalWeb">
    <w:name w:val="Normal (Web)"/>
    <w:basedOn w:val="Normal"/>
    <w:rsid w:val="000C1C08"/>
    <w:rPr>
      <w:rFonts w:ascii="Verdana" w:hAnsi="Verdana"/>
      <w:sz w:val="20"/>
      <w:szCs w:val="20"/>
    </w:rPr>
  </w:style>
  <w:style w:type="character" w:styleId="Hyperlink">
    <w:name w:val="Hyperlink"/>
    <w:rsid w:val="000C1C08"/>
    <w:rPr>
      <w:color w:val="0000FF"/>
      <w:u w:val="single"/>
    </w:rPr>
  </w:style>
  <w:style w:type="paragraph" w:styleId="BalloonText">
    <w:name w:val="Balloon Text"/>
    <w:basedOn w:val="Normal"/>
    <w:semiHidden/>
    <w:rsid w:val="007652F7"/>
    <w:rPr>
      <w:rFonts w:ascii="Tahoma" w:hAnsi="Tahoma" w:cs="Tahoma"/>
      <w:sz w:val="16"/>
      <w:szCs w:val="16"/>
    </w:rPr>
  </w:style>
  <w:style w:type="paragraph" w:styleId="z-TopofForm">
    <w:name w:val="HTML Top of Form"/>
    <w:basedOn w:val="Normal"/>
    <w:next w:val="Normal"/>
    <w:hidden/>
    <w:rsid w:val="00F537B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537BA"/>
    <w:pPr>
      <w:pBdr>
        <w:top w:val="single" w:sz="6" w:space="1" w:color="auto"/>
      </w:pBdr>
      <w:jc w:val="center"/>
    </w:pPr>
    <w:rPr>
      <w:rFonts w:ascii="Arial" w:hAnsi="Arial" w:cs="Arial"/>
      <w:vanish/>
      <w:sz w:val="16"/>
      <w:szCs w:val="16"/>
    </w:rPr>
  </w:style>
  <w:style w:type="character" w:styleId="CommentReference">
    <w:name w:val="annotation reference"/>
    <w:semiHidden/>
    <w:rsid w:val="00232F23"/>
    <w:rPr>
      <w:sz w:val="16"/>
      <w:szCs w:val="16"/>
    </w:rPr>
  </w:style>
  <w:style w:type="paragraph" w:styleId="CommentText">
    <w:name w:val="annotation text"/>
    <w:basedOn w:val="Normal"/>
    <w:semiHidden/>
    <w:rsid w:val="00232F23"/>
    <w:rPr>
      <w:sz w:val="20"/>
      <w:szCs w:val="20"/>
    </w:rPr>
  </w:style>
  <w:style w:type="paragraph" w:styleId="CommentSubject">
    <w:name w:val="annotation subject"/>
    <w:basedOn w:val="CommentText"/>
    <w:next w:val="CommentText"/>
    <w:semiHidden/>
    <w:rsid w:val="00232F23"/>
    <w:rPr>
      <w:b/>
      <w:bCs/>
    </w:rPr>
  </w:style>
  <w:style w:type="character" w:customStyle="1" w:styleId="Heading6Char">
    <w:name w:val="Heading 6 Char"/>
    <w:link w:val="Heading6"/>
    <w:rsid w:val="00161CAE"/>
    <w:rPr>
      <w:b/>
      <w:sz w:val="24"/>
    </w:rPr>
  </w:style>
  <w:style w:type="character" w:customStyle="1" w:styleId="FooterChar">
    <w:name w:val="Footer Char"/>
    <w:link w:val="Footer"/>
    <w:uiPriority w:val="99"/>
    <w:rsid w:val="00E9721E"/>
    <w:rPr>
      <w:sz w:val="24"/>
      <w:szCs w:val="24"/>
    </w:rPr>
  </w:style>
  <w:style w:type="paragraph" w:styleId="BodyText">
    <w:name w:val="Body Text"/>
    <w:basedOn w:val="Normal"/>
    <w:link w:val="BodyTextChar"/>
    <w:rsid w:val="0010744A"/>
    <w:pPr>
      <w:spacing w:after="120"/>
    </w:pPr>
  </w:style>
  <w:style w:type="character" w:customStyle="1" w:styleId="BodyTextChar">
    <w:name w:val="Body Text Char"/>
    <w:basedOn w:val="DefaultParagraphFont"/>
    <w:link w:val="BodyText"/>
    <w:rsid w:val="0010744A"/>
    <w:rPr>
      <w:sz w:val="24"/>
      <w:szCs w:val="24"/>
    </w:rPr>
  </w:style>
  <w:style w:type="table" w:styleId="TableGrid">
    <w:name w:val="Table Grid"/>
    <w:basedOn w:val="TableNormal"/>
    <w:uiPriority w:val="59"/>
    <w:rsid w:val="001074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44A"/>
    <w:pPr>
      <w:autoSpaceDE w:val="0"/>
      <w:autoSpaceDN w:val="0"/>
      <w:adjustRightInd w:val="0"/>
    </w:pPr>
    <w:rPr>
      <w:rFonts w:ascii="MS Reference Sans Serif" w:eastAsia="Calibri" w:hAnsi="MS Reference Sans Serif" w:cs="MS Reference Sans Serif"/>
      <w:color w:val="000000"/>
      <w:sz w:val="24"/>
      <w:szCs w:val="24"/>
    </w:rPr>
  </w:style>
  <w:style w:type="paragraph" w:styleId="ListParagraph">
    <w:name w:val="List Paragraph"/>
    <w:basedOn w:val="Normal"/>
    <w:uiPriority w:val="34"/>
    <w:qFormat/>
    <w:rsid w:val="00877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C1C08"/>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Bookman Old Style" w:hAnsi="Bookman Old Style"/>
      <w:b/>
      <w:szCs w:val="20"/>
      <w:u w:val="single"/>
    </w:rPr>
  </w:style>
  <w:style w:type="paragraph" w:styleId="Heading3">
    <w:name w:val="heading 3"/>
    <w:basedOn w:val="Normal"/>
    <w:next w:val="Normal"/>
    <w:qFormat/>
    <w:pPr>
      <w:keepNext/>
      <w:outlineLvl w:val="2"/>
    </w:pPr>
    <w:rPr>
      <w:szCs w:val="20"/>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link w:val="Heading6Char"/>
    <w:qFormat/>
    <w:pPr>
      <w:keepNext/>
      <w:tabs>
        <w:tab w:val="num" w:pos="0"/>
      </w:tabs>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2700"/>
        <w:tab w:val="left" w:pos="2970"/>
      </w:tabs>
      <w:ind w:left="2790" w:hanging="540"/>
    </w:pPr>
    <w:rPr>
      <w:rFonts w:ascii="Bookman Old Style" w:hAnsi="Bookman Old Style"/>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0C1C08"/>
  </w:style>
  <w:style w:type="paragraph" w:styleId="NormalWeb">
    <w:name w:val="Normal (Web)"/>
    <w:basedOn w:val="Normal"/>
    <w:rsid w:val="000C1C08"/>
    <w:rPr>
      <w:rFonts w:ascii="Verdana" w:hAnsi="Verdana"/>
      <w:sz w:val="20"/>
      <w:szCs w:val="20"/>
    </w:rPr>
  </w:style>
  <w:style w:type="character" w:styleId="Hyperlink">
    <w:name w:val="Hyperlink"/>
    <w:rsid w:val="000C1C08"/>
    <w:rPr>
      <w:color w:val="0000FF"/>
      <w:u w:val="single"/>
    </w:rPr>
  </w:style>
  <w:style w:type="paragraph" w:styleId="BalloonText">
    <w:name w:val="Balloon Text"/>
    <w:basedOn w:val="Normal"/>
    <w:semiHidden/>
    <w:rsid w:val="007652F7"/>
    <w:rPr>
      <w:rFonts w:ascii="Tahoma" w:hAnsi="Tahoma" w:cs="Tahoma"/>
      <w:sz w:val="16"/>
      <w:szCs w:val="16"/>
    </w:rPr>
  </w:style>
  <w:style w:type="paragraph" w:styleId="z-TopofForm">
    <w:name w:val="HTML Top of Form"/>
    <w:basedOn w:val="Normal"/>
    <w:next w:val="Normal"/>
    <w:hidden/>
    <w:rsid w:val="00F537B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537BA"/>
    <w:pPr>
      <w:pBdr>
        <w:top w:val="single" w:sz="6" w:space="1" w:color="auto"/>
      </w:pBdr>
      <w:jc w:val="center"/>
    </w:pPr>
    <w:rPr>
      <w:rFonts w:ascii="Arial" w:hAnsi="Arial" w:cs="Arial"/>
      <w:vanish/>
      <w:sz w:val="16"/>
      <w:szCs w:val="16"/>
    </w:rPr>
  </w:style>
  <w:style w:type="character" w:styleId="CommentReference">
    <w:name w:val="annotation reference"/>
    <w:semiHidden/>
    <w:rsid w:val="00232F23"/>
    <w:rPr>
      <w:sz w:val="16"/>
      <w:szCs w:val="16"/>
    </w:rPr>
  </w:style>
  <w:style w:type="paragraph" w:styleId="CommentText">
    <w:name w:val="annotation text"/>
    <w:basedOn w:val="Normal"/>
    <w:semiHidden/>
    <w:rsid w:val="00232F23"/>
    <w:rPr>
      <w:sz w:val="20"/>
      <w:szCs w:val="20"/>
    </w:rPr>
  </w:style>
  <w:style w:type="paragraph" w:styleId="CommentSubject">
    <w:name w:val="annotation subject"/>
    <w:basedOn w:val="CommentText"/>
    <w:next w:val="CommentText"/>
    <w:semiHidden/>
    <w:rsid w:val="00232F23"/>
    <w:rPr>
      <w:b/>
      <w:bCs/>
    </w:rPr>
  </w:style>
  <w:style w:type="character" w:customStyle="1" w:styleId="Heading6Char">
    <w:name w:val="Heading 6 Char"/>
    <w:link w:val="Heading6"/>
    <w:rsid w:val="00161CAE"/>
    <w:rPr>
      <w:b/>
      <w:sz w:val="24"/>
    </w:rPr>
  </w:style>
  <w:style w:type="character" w:customStyle="1" w:styleId="FooterChar">
    <w:name w:val="Footer Char"/>
    <w:link w:val="Footer"/>
    <w:uiPriority w:val="99"/>
    <w:rsid w:val="00E9721E"/>
    <w:rPr>
      <w:sz w:val="24"/>
      <w:szCs w:val="24"/>
    </w:rPr>
  </w:style>
  <w:style w:type="paragraph" w:styleId="BodyText">
    <w:name w:val="Body Text"/>
    <w:basedOn w:val="Normal"/>
    <w:link w:val="BodyTextChar"/>
    <w:rsid w:val="0010744A"/>
    <w:pPr>
      <w:spacing w:after="120"/>
    </w:pPr>
  </w:style>
  <w:style w:type="character" w:customStyle="1" w:styleId="BodyTextChar">
    <w:name w:val="Body Text Char"/>
    <w:basedOn w:val="DefaultParagraphFont"/>
    <w:link w:val="BodyText"/>
    <w:rsid w:val="0010744A"/>
    <w:rPr>
      <w:sz w:val="24"/>
      <w:szCs w:val="24"/>
    </w:rPr>
  </w:style>
  <w:style w:type="table" w:styleId="TableGrid">
    <w:name w:val="Table Grid"/>
    <w:basedOn w:val="TableNormal"/>
    <w:uiPriority w:val="59"/>
    <w:rsid w:val="001074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44A"/>
    <w:pPr>
      <w:autoSpaceDE w:val="0"/>
      <w:autoSpaceDN w:val="0"/>
      <w:adjustRightInd w:val="0"/>
    </w:pPr>
    <w:rPr>
      <w:rFonts w:ascii="MS Reference Sans Serif" w:eastAsia="Calibri" w:hAnsi="MS Reference Sans Serif" w:cs="MS Reference Sans Serif"/>
      <w:color w:val="000000"/>
      <w:sz w:val="24"/>
      <w:szCs w:val="24"/>
    </w:rPr>
  </w:style>
  <w:style w:type="paragraph" w:styleId="ListParagraph">
    <w:name w:val="List Paragraph"/>
    <w:basedOn w:val="Normal"/>
    <w:uiPriority w:val="34"/>
    <w:qFormat/>
    <w:rsid w:val="0087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A061-10FB-44FC-824C-A4B123CB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4163</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Note:  The information above is accessed by using the “Header/Footer”</vt:lpstr>
    </vt:vector>
  </TitlesOfParts>
  <Company>CENTENE CORPORATION</Company>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information above is accessed by using the “Header/Footer”</dc:title>
  <dc:creator>Centene User</dc:creator>
  <cp:lastModifiedBy>Curt NElson</cp:lastModifiedBy>
  <cp:revision>5</cp:revision>
  <cp:lastPrinted>2018-11-17T00:15:00Z</cp:lastPrinted>
  <dcterms:created xsi:type="dcterms:W3CDTF">2018-09-21T20:15:00Z</dcterms:created>
  <dcterms:modified xsi:type="dcterms:W3CDTF">2018-11-17T00:16:00Z</dcterms:modified>
</cp:coreProperties>
</file>